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BA" w:rsidRDefault="00997354">
      <w:pPr>
        <w:shd w:val="clear" w:color="auto" w:fill="FFE599"/>
        <w:jc w:val="center"/>
        <w:rPr>
          <w:b/>
        </w:rPr>
      </w:pPr>
      <w:r>
        <w:rPr>
          <w:b/>
        </w:rPr>
        <w:t>Učni načrt</w:t>
      </w:r>
    </w:p>
    <w:p w:rsidR="00CB70BA" w:rsidRDefault="00997354">
      <w:pPr>
        <w:spacing w:before="120" w:after="120"/>
        <w:jc w:val="center"/>
        <w:rPr>
          <w:b/>
        </w:rPr>
      </w:pPr>
      <w:r>
        <w:rPr>
          <w:b/>
        </w:rPr>
        <w:t>To storite zdaj</w:t>
      </w:r>
    </w:p>
    <w:tbl>
      <w:tblPr>
        <w:tblStyle w:val="a"/>
        <w:tblW w:w="1400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4960"/>
        <w:gridCol w:w="5198"/>
        <w:gridCol w:w="22"/>
      </w:tblGrid>
      <w:tr w:rsidR="00CB70BA" w:rsidTr="00482DF3">
        <w:trPr>
          <w:gridAfter w:val="1"/>
          <w:wAfter w:w="22" w:type="dxa"/>
          <w:trHeight w:val="227"/>
        </w:trPr>
        <w:tc>
          <w:tcPr>
            <w:tcW w:w="3827" w:type="dxa"/>
            <w:gridSpan w:val="2"/>
            <w:shd w:val="clear" w:color="auto" w:fill="FFE599"/>
          </w:tcPr>
          <w:p w:rsidR="00CB70BA" w:rsidRDefault="00997354">
            <w:pPr>
              <w:spacing w:before="40" w:after="40"/>
            </w:pPr>
            <w:r>
              <w:rPr>
                <w:b/>
                <w:sz w:val="22"/>
                <w:szCs w:val="22"/>
              </w:rPr>
              <w:t>Raven, starost učencev</w:t>
            </w:r>
            <w:r>
              <w:rPr>
                <w:sz w:val="22"/>
                <w:szCs w:val="22"/>
              </w:rPr>
              <w:t>:</w:t>
            </w:r>
          </w:p>
        </w:tc>
        <w:tc>
          <w:tcPr>
            <w:tcW w:w="10158" w:type="dxa"/>
            <w:gridSpan w:val="2"/>
            <w:shd w:val="clear" w:color="auto" w:fill="auto"/>
          </w:tcPr>
          <w:p w:rsidR="00CB70BA" w:rsidRDefault="00997354">
            <w:pPr>
              <w:spacing w:before="40" w:after="40"/>
              <w:rPr>
                <w:sz w:val="22"/>
                <w:szCs w:val="22"/>
              </w:rPr>
            </w:pPr>
            <w:r>
              <w:rPr>
                <w:sz w:val="22"/>
                <w:szCs w:val="22"/>
              </w:rPr>
              <w:t>14 – 18</w:t>
            </w:r>
          </w:p>
        </w:tc>
      </w:tr>
      <w:tr w:rsidR="00CB70BA" w:rsidTr="00482DF3">
        <w:trPr>
          <w:gridAfter w:val="1"/>
          <w:wAfter w:w="22" w:type="dxa"/>
          <w:trHeight w:val="227"/>
        </w:trPr>
        <w:tc>
          <w:tcPr>
            <w:tcW w:w="3827" w:type="dxa"/>
            <w:gridSpan w:val="2"/>
            <w:shd w:val="clear" w:color="auto" w:fill="FFE599"/>
          </w:tcPr>
          <w:p w:rsidR="00CB70BA" w:rsidRDefault="00997354">
            <w:pPr>
              <w:spacing w:before="40" w:after="40"/>
              <w:rPr>
                <w:b/>
              </w:rPr>
            </w:pPr>
            <w:r>
              <w:rPr>
                <w:b/>
              </w:rPr>
              <w:t>Predmet:</w:t>
            </w:r>
          </w:p>
        </w:tc>
        <w:tc>
          <w:tcPr>
            <w:tcW w:w="10158" w:type="dxa"/>
            <w:gridSpan w:val="2"/>
            <w:shd w:val="clear" w:color="auto" w:fill="auto"/>
          </w:tcPr>
          <w:p w:rsidR="00CB70BA" w:rsidRDefault="00997354">
            <w:pPr>
              <w:spacing w:before="40" w:after="40"/>
            </w:pPr>
            <w:bookmarkStart w:id="0" w:name="_gjdgxs" w:colFirst="0" w:colLast="0"/>
            <w:bookmarkEnd w:id="0"/>
            <w:r>
              <w:t>Katerikoli predmet</w:t>
            </w:r>
          </w:p>
        </w:tc>
      </w:tr>
      <w:tr w:rsidR="00CB70BA" w:rsidTr="00482DF3">
        <w:trPr>
          <w:gridAfter w:val="1"/>
          <w:wAfter w:w="22" w:type="dxa"/>
          <w:trHeight w:val="227"/>
        </w:trPr>
        <w:tc>
          <w:tcPr>
            <w:tcW w:w="3827" w:type="dxa"/>
            <w:gridSpan w:val="2"/>
            <w:shd w:val="clear" w:color="auto" w:fill="FFE599"/>
          </w:tcPr>
          <w:p w:rsidR="00CB70BA" w:rsidRDefault="00997354">
            <w:pPr>
              <w:spacing w:before="40" w:after="40"/>
              <w:rPr>
                <w:b/>
              </w:rPr>
            </w:pPr>
            <w:r>
              <w:rPr>
                <w:b/>
              </w:rPr>
              <w:t>Vključeni predmeti:</w:t>
            </w:r>
          </w:p>
        </w:tc>
        <w:tc>
          <w:tcPr>
            <w:tcW w:w="10158" w:type="dxa"/>
            <w:gridSpan w:val="2"/>
            <w:shd w:val="clear" w:color="auto" w:fill="auto"/>
          </w:tcPr>
          <w:p w:rsidR="00CB70BA" w:rsidRDefault="00997354">
            <w:pPr>
              <w:spacing w:before="40" w:after="40"/>
            </w:pPr>
            <w:r>
              <w:t>Vsi predmeti</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Cilji:</w:t>
            </w:r>
          </w:p>
        </w:tc>
        <w:tc>
          <w:tcPr>
            <w:tcW w:w="10158" w:type="dxa"/>
            <w:gridSpan w:val="2"/>
            <w:shd w:val="clear" w:color="auto" w:fill="auto"/>
          </w:tcPr>
          <w:p w:rsidR="00CB70BA" w:rsidRDefault="00997354">
            <w:pPr>
              <w:spacing w:before="40" w:after="40"/>
            </w:pPr>
            <w:r>
              <w:t>Študentom pomagati razumeti pomen načrtovanja iz temeljnih razlogov.</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Predlagano število učencev na skupino:</w:t>
            </w:r>
          </w:p>
        </w:tc>
        <w:tc>
          <w:tcPr>
            <w:tcW w:w="10158" w:type="dxa"/>
            <w:gridSpan w:val="2"/>
            <w:shd w:val="clear" w:color="auto" w:fill="auto"/>
          </w:tcPr>
          <w:p w:rsidR="00CB70BA" w:rsidRDefault="00997354">
            <w:pPr>
              <w:spacing w:before="40" w:after="40"/>
            </w:pPr>
            <w:r>
              <w:t>10 – 20</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Čas glavne dejavnosti:</w:t>
            </w:r>
          </w:p>
        </w:tc>
        <w:tc>
          <w:tcPr>
            <w:tcW w:w="10158" w:type="dxa"/>
            <w:gridSpan w:val="2"/>
            <w:shd w:val="clear" w:color="auto" w:fill="auto"/>
          </w:tcPr>
          <w:p w:rsidR="00CB70BA" w:rsidRDefault="00997354">
            <w:pPr>
              <w:spacing w:before="40" w:after="40"/>
            </w:pPr>
            <w:r>
              <w:t>15 minut</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Material:</w:t>
            </w:r>
          </w:p>
        </w:tc>
        <w:tc>
          <w:tcPr>
            <w:tcW w:w="10158" w:type="dxa"/>
            <w:gridSpan w:val="2"/>
            <w:shd w:val="clear" w:color="auto" w:fill="auto"/>
          </w:tcPr>
          <w:p w:rsidR="00CB70BA" w:rsidRDefault="00997354">
            <w:pPr>
              <w:spacing w:before="40" w:after="40"/>
            </w:pPr>
            <w:r>
              <w:t>Bela tabla in markerji, računalnik in projektor, pisalo in papir za zapisovanje.</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Kompetence:</w:t>
            </w:r>
          </w:p>
        </w:tc>
        <w:tc>
          <w:tcPr>
            <w:tcW w:w="10158" w:type="dxa"/>
            <w:gridSpan w:val="2"/>
            <w:shd w:val="clear" w:color="auto" w:fill="auto"/>
          </w:tcPr>
          <w:p w:rsidR="00CB70BA" w:rsidRDefault="00997354" w:rsidP="00482DF3">
            <w:pPr>
              <w:spacing w:before="40" w:after="40"/>
              <w:jc w:val="both"/>
            </w:pPr>
            <w:r>
              <w:t>Analitično razmišljanje, komun</w:t>
            </w:r>
            <w:bookmarkStart w:id="1" w:name="_GoBack"/>
            <w:bookmarkEnd w:id="1"/>
            <w:r>
              <w:t>ikacija, aktivno poslušanje, empatija, reševanje problemov, upravljanje časa.</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Predpripra</w:t>
            </w:r>
            <w:r>
              <w:rPr>
                <w:b/>
              </w:rPr>
              <w:t>va, če je potrebna:</w:t>
            </w:r>
          </w:p>
        </w:tc>
        <w:tc>
          <w:tcPr>
            <w:tcW w:w="10158" w:type="dxa"/>
            <w:gridSpan w:val="2"/>
            <w:shd w:val="clear" w:color="auto" w:fill="auto"/>
          </w:tcPr>
          <w:p w:rsidR="00CB70BA" w:rsidRDefault="0099735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Učitelj mora pripraviti citate, ki bodo prikazani na beli tabli ali uporabljeni na interaktivni tabli.</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Pričakovani rezultati:</w:t>
            </w:r>
          </w:p>
        </w:tc>
        <w:tc>
          <w:tcPr>
            <w:tcW w:w="10158" w:type="dxa"/>
            <w:gridSpan w:val="2"/>
            <w:shd w:val="clear" w:color="auto" w:fill="auto"/>
          </w:tcPr>
          <w:p w:rsidR="00CB70BA" w:rsidRDefault="0099735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Študenti bodo razumeli temeljno in instrumentalno sklepanje.</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Pričakovane težave:</w:t>
            </w:r>
          </w:p>
        </w:tc>
        <w:tc>
          <w:tcPr>
            <w:tcW w:w="10158" w:type="dxa"/>
            <w:gridSpan w:val="2"/>
            <w:shd w:val="clear" w:color="auto" w:fill="auto"/>
          </w:tcPr>
          <w:p w:rsidR="00CB70BA" w:rsidRDefault="0099735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202124"/>
              </w:rPr>
            </w:pPr>
            <w:r>
              <w:rPr>
                <w:color w:val="202124"/>
              </w:rPr>
              <w:t>Nekaterih študentov tema morda ne zanima.</w:t>
            </w:r>
          </w:p>
        </w:tc>
      </w:tr>
      <w:tr w:rsidR="00CB70BA" w:rsidTr="00482DF3">
        <w:trPr>
          <w:gridAfter w:val="1"/>
          <w:wAfter w:w="22" w:type="dxa"/>
        </w:trPr>
        <w:tc>
          <w:tcPr>
            <w:tcW w:w="3827" w:type="dxa"/>
            <w:gridSpan w:val="2"/>
            <w:shd w:val="clear" w:color="auto" w:fill="FFE599"/>
          </w:tcPr>
          <w:p w:rsidR="00CB70BA" w:rsidRDefault="00997354">
            <w:pPr>
              <w:spacing w:before="40" w:after="40"/>
              <w:rPr>
                <w:b/>
              </w:rPr>
            </w:pPr>
            <w:r>
              <w:rPr>
                <w:b/>
              </w:rPr>
              <w:t>Morebitni nadaljnji ukrepi:</w:t>
            </w:r>
          </w:p>
        </w:tc>
        <w:tc>
          <w:tcPr>
            <w:tcW w:w="10158" w:type="dxa"/>
            <w:gridSpan w:val="2"/>
            <w:shd w:val="clear" w:color="auto" w:fill="auto"/>
          </w:tcPr>
          <w:p w:rsidR="00CB70BA" w:rsidRDefault="0099735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color w:val="000000"/>
              </w:rPr>
            </w:pPr>
            <w:r>
              <w:rPr>
                <w:color w:val="000000"/>
              </w:rPr>
              <w:t>Učitelj lahko organizira podobno dejavnost za druge ure.</w:t>
            </w:r>
          </w:p>
        </w:tc>
      </w:tr>
      <w:tr w:rsidR="00CB70BA" w:rsidTr="00482DF3">
        <w:tc>
          <w:tcPr>
            <w:tcW w:w="992" w:type="dxa"/>
            <w:shd w:val="clear" w:color="auto" w:fill="FFE599"/>
            <w:tcMar>
              <w:left w:w="70" w:type="dxa"/>
              <w:right w:w="70" w:type="dxa"/>
            </w:tcMar>
          </w:tcPr>
          <w:p w:rsidR="00CB70BA" w:rsidRDefault="00997354">
            <w:pPr>
              <w:spacing w:before="240" w:after="240"/>
              <w:jc w:val="center"/>
              <w:rPr>
                <w:b/>
                <w:smallCaps/>
              </w:rPr>
            </w:pPr>
            <w:r>
              <w:rPr>
                <w:b/>
                <w:smallCaps/>
              </w:rPr>
              <w:t>Čas</w:t>
            </w:r>
          </w:p>
        </w:tc>
        <w:tc>
          <w:tcPr>
            <w:tcW w:w="7795" w:type="dxa"/>
            <w:gridSpan w:val="2"/>
            <w:shd w:val="clear" w:color="auto" w:fill="FFE599"/>
            <w:tcMar>
              <w:left w:w="70" w:type="dxa"/>
              <w:right w:w="70" w:type="dxa"/>
            </w:tcMar>
          </w:tcPr>
          <w:p w:rsidR="00CB70BA" w:rsidRDefault="00997354">
            <w:pPr>
              <w:spacing w:before="240" w:after="240"/>
              <w:jc w:val="center"/>
              <w:rPr>
                <w:b/>
                <w:smallCaps/>
              </w:rPr>
            </w:pPr>
            <w:r>
              <w:rPr>
                <w:b/>
                <w:smallCaps/>
              </w:rPr>
              <w:t>POSTOPEK (T: učitelj; SS: učenci; O: drugi)</w:t>
            </w:r>
          </w:p>
        </w:tc>
        <w:tc>
          <w:tcPr>
            <w:tcW w:w="5220" w:type="dxa"/>
            <w:gridSpan w:val="2"/>
            <w:shd w:val="clear" w:color="auto" w:fill="FFE599"/>
            <w:tcMar>
              <w:left w:w="70" w:type="dxa"/>
              <w:right w:w="70" w:type="dxa"/>
            </w:tcMar>
          </w:tcPr>
          <w:p w:rsidR="00CB70BA" w:rsidRDefault="00997354">
            <w:pPr>
              <w:spacing w:before="240" w:after="240"/>
              <w:jc w:val="center"/>
              <w:rPr>
                <w:b/>
              </w:rPr>
            </w:pPr>
            <w:r>
              <w:rPr>
                <w:b/>
              </w:rPr>
              <w:t>METODA</w:t>
            </w:r>
          </w:p>
        </w:tc>
      </w:tr>
      <w:tr w:rsidR="00CB70BA" w:rsidTr="00482DF3">
        <w:tc>
          <w:tcPr>
            <w:tcW w:w="992" w:type="dxa"/>
            <w:shd w:val="clear" w:color="auto" w:fill="auto"/>
            <w:tcMar>
              <w:left w:w="70" w:type="dxa"/>
              <w:right w:w="70" w:type="dxa"/>
            </w:tcMar>
            <w:vAlign w:val="center"/>
          </w:tcPr>
          <w:p w:rsidR="00CB70BA" w:rsidRDefault="00997354">
            <w:pPr>
              <w:jc w:val="center"/>
              <w:rPr>
                <w:b/>
                <w:smallCaps/>
              </w:rPr>
            </w:pPr>
            <w:r>
              <w:rPr>
                <w:b/>
                <w:smallCaps/>
              </w:rPr>
              <w:t>3'</w:t>
            </w:r>
          </w:p>
        </w:tc>
        <w:tc>
          <w:tcPr>
            <w:tcW w:w="7795" w:type="dxa"/>
            <w:gridSpan w:val="2"/>
            <w:shd w:val="clear" w:color="auto" w:fill="auto"/>
            <w:tcMar>
              <w:left w:w="70" w:type="dxa"/>
              <w:right w:w="70" w:type="dxa"/>
            </w:tcMar>
          </w:tcPr>
          <w:p w:rsidR="00CB70BA" w:rsidRDefault="00997354">
            <w:pPr>
              <w:numPr>
                <w:ilvl w:val="0"/>
                <w:numId w:val="5"/>
              </w:numPr>
              <w:spacing w:before="60" w:after="120"/>
              <w:rPr>
                <w:b/>
                <w:smallCaps/>
              </w:rPr>
            </w:pPr>
            <w:r>
              <w:rPr>
                <w:b/>
                <w:smallCaps/>
              </w:rPr>
              <w:t>Pripravljalni ukrep</w:t>
            </w:r>
          </w:p>
          <w:p w:rsidR="00CB70BA" w:rsidRDefault="00997354">
            <w:pPr>
              <w:spacing w:before="60" w:after="120"/>
              <w:rPr>
                <w:color w:val="202124"/>
              </w:rPr>
            </w:pPr>
            <w:r>
              <w:rPr>
                <w:b/>
                <w:color w:val="000000"/>
              </w:rPr>
              <w:t>Cilj:</w:t>
            </w:r>
            <w:r>
              <w:t xml:space="preserve"> </w:t>
            </w:r>
            <w:r>
              <w:rPr>
                <w:color w:val="202124"/>
              </w:rPr>
              <w:t>Opozorite študente na temo</w:t>
            </w:r>
          </w:p>
          <w:p w:rsidR="00CB70BA" w:rsidRDefault="00997354" w:rsidP="00482DF3">
            <w:pPr>
              <w:spacing w:before="60" w:after="120"/>
              <w:jc w:val="both"/>
              <w:rPr>
                <w:color w:val="202124"/>
              </w:rPr>
            </w:pPr>
            <w:r>
              <w:rPr>
                <w:color w:val="202124"/>
              </w:rPr>
              <w:lastRenderedPageBreak/>
              <w:t>Učitelj odraža citate na tablo</w:t>
            </w:r>
          </w:p>
          <w:p w:rsidR="00CB70BA" w:rsidRDefault="00997354" w:rsidP="00482DF3">
            <w:pPr>
              <w:numPr>
                <w:ilvl w:val="0"/>
                <w:numId w:val="2"/>
              </w:numPr>
              <w:pBdr>
                <w:top w:val="nil"/>
                <w:left w:val="nil"/>
                <w:bottom w:val="nil"/>
                <w:right w:val="nil"/>
                <w:between w:val="nil"/>
              </w:pBdr>
              <w:spacing w:before="60"/>
              <w:jc w:val="both"/>
              <w:rPr>
                <w:color w:val="202124"/>
              </w:rPr>
            </w:pPr>
            <w:r>
              <w:rPr>
                <w:color w:val="000000"/>
              </w:rPr>
              <w:t>"Načrti so ničvredni, vendar je načrtovanje bistveno." Dwight D. Eisenhower</w:t>
            </w:r>
          </w:p>
          <w:p w:rsidR="00CB70BA" w:rsidRDefault="00997354" w:rsidP="00482DF3">
            <w:pPr>
              <w:numPr>
                <w:ilvl w:val="0"/>
                <w:numId w:val="2"/>
              </w:numPr>
              <w:pBdr>
                <w:top w:val="nil"/>
                <w:left w:val="nil"/>
                <w:bottom w:val="nil"/>
                <w:right w:val="nil"/>
                <w:between w:val="nil"/>
              </w:pBdr>
              <w:jc w:val="both"/>
              <w:rPr>
                <w:color w:val="202124"/>
              </w:rPr>
            </w:pPr>
            <w:r>
              <w:rPr>
                <w:color w:val="202124"/>
              </w:rPr>
              <w:t>"Samo zato, ker si naredil dober načrt, še ne pomeni, da se bo to zgodilo."</w:t>
            </w:r>
            <w:r>
              <w:rPr>
                <w:color w:val="000000"/>
              </w:rPr>
              <w:t>Taylor Swift</w:t>
            </w:r>
          </w:p>
          <w:p w:rsidR="00CB70BA" w:rsidRDefault="00997354" w:rsidP="00482DF3">
            <w:pPr>
              <w:numPr>
                <w:ilvl w:val="0"/>
                <w:numId w:val="2"/>
              </w:numPr>
              <w:pBdr>
                <w:top w:val="nil"/>
                <w:left w:val="nil"/>
                <w:bottom w:val="nil"/>
                <w:right w:val="nil"/>
                <w:between w:val="nil"/>
              </w:pBdr>
              <w:spacing w:after="120"/>
              <w:jc w:val="both"/>
              <w:rPr>
                <w:color w:val="202124"/>
              </w:rPr>
            </w:pPr>
            <w:r>
              <w:rPr>
                <w:color w:val="000000"/>
              </w:rPr>
              <w:t>Ni vam treba videti celotnega stopnišča, samo naredite prvi korak.” Martin Luther King ml.</w:t>
            </w:r>
          </w:p>
          <w:p w:rsidR="00CB70BA" w:rsidRDefault="00997354">
            <w:pPr>
              <w:spacing w:before="60" w:after="120"/>
              <w:rPr>
                <w:color w:val="202124"/>
              </w:rPr>
            </w:pPr>
            <w:r>
              <w:rPr>
                <w:color w:val="202124"/>
              </w:rPr>
              <w:t>Učitelj postavlja vprašanja:</w:t>
            </w:r>
          </w:p>
          <w:p w:rsidR="00CB70BA" w:rsidRDefault="00997354">
            <w:pPr>
              <w:numPr>
                <w:ilvl w:val="0"/>
                <w:numId w:val="3"/>
              </w:numPr>
              <w:pBdr>
                <w:top w:val="nil"/>
                <w:left w:val="nil"/>
                <w:bottom w:val="nil"/>
                <w:right w:val="nil"/>
                <w:between w:val="nil"/>
              </w:pBdr>
              <w:spacing w:before="60"/>
              <w:rPr>
                <w:color w:val="202124"/>
              </w:rPr>
            </w:pPr>
            <w:r>
              <w:rPr>
                <w:color w:val="000000"/>
              </w:rPr>
              <w:t>Ali kateri od teh citatov odmeva z vami?</w:t>
            </w:r>
          </w:p>
          <w:p w:rsidR="00CB70BA" w:rsidRDefault="00997354">
            <w:pPr>
              <w:numPr>
                <w:ilvl w:val="0"/>
                <w:numId w:val="3"/>
              </w:numPr>
              <w:pBdr>
                <w:top w:val="nil"/>
                <w:left w:val="nil"/>
                <w:bottom w:val="nil"/>
                <w:right w:val="nil"/>
                <w:between w:val="nil"/>
              </w:pBdr>
              <w:rPr>
                <w:color w:val="202124"/>
              </w:rPr>
            </w:pPr>
            <w:r>
              <w:rPr>
                <w:color w:val="000000"/>
              </w:rPr>
              <w:t>Katero(-e) in zakaj?</w:t>
            </w:r>
          </w:p>
          <w:p w:rsidR="00CB70BA" w:rsidRDefault="00997354">
            <w:pPr>
              <w:numPr>
                <w:ilvl w:val="0"/>
                <w:numId w:val="3"/>
              </w:numPr>
              <w:pBdr>
                <w:top w:val="nil"/>
                <w:left w:val="nil"/>
                <w:bottom w:val="nil"/>
                <w:right w:val="nil"/>
                <w:between w:val="nil"/>
              </w:pBdr>
              <w:spacing w:after="120"/>
              <w:rPr>
                <w:color w:val="202124"/>
              </w:rPr>
            </w:pPr>
            <w:r>
              <w:rPr>
                <w:color w:val="000000"/>
              </w:rPr>
              <w:t>Kaj mislite, kaj imajo oni opraviti z vašo prihodnjo kariero?</w:t>
            </w:r>
          </w:p>
          <w:p w:rsidR="00CB70BA" w:rsidRDefault="00997354">
            <w:pPr>
              <w:spacing w:before="60" w:after="120"/>
              <w:rPr>
                <w:color w:val="202124"/>
              </w:rPr>
            </w:pPr>
            <w:r>
              <w:t>Učenci imajo pet minut časa, da zapišejo svoje odgovore.</w:t>
            </w:r>
          </w:p>
        </w:tc>
        <w:tc>
          <w:tcPr>
            <w:tcW w:w="5220" w:type="dxa"/>
            <w:gridSpan w:val="2"/>
            <w:shd w:val="clear" w:color="auto" w:fill="auto"/>
            <w:tcMar>
              <w:left w:w="70" w:type="dxa"/>
              <w:right w:w="70" w:type="dxa"/>
            </w:tcMar>
          </w:tcPr>
          <w:p w:rsidR="00CB70BA" w:rsidRDefault="00997354">
            <w:pPr>
              <w:jc w:val="center"/>
            </w:pPr>
            <w:r>
              <w:lastRenderedPageBreak/>
              <w:t>Brainstorming</w:t>
            </w:r>
          </w:p>
          <w:p w:rsidR="00CB70BA" w:rsidRDefault="00CB70BA">
            <w:pPr>
              <w:jc w:val="center"/>
            </w:pPr>
          </w:p>
          <w:p w:rsidR="00CB70BA" w:rsidRDefault="00997354">
            <w:pPr>
              <w:jc w:val="center"/>
            </w:pPr>
            <w:r>
              <w:t>Individualno delo</w:t>
            </w:r>
          </w:p>
          <w:p w:rsidR="00CB70BA" w:rsidRDefault="00CB70BA"/>
        </w:tc>
      </w:tr>
      <w:tr w:rsidR="00CB70BA" w:rsidTr="00482DF3">
        <w:trPr>
          <w:trHeight w:val="3243"/>
        </w:trPr>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B70BA" w:rsidRDefault="00997354">
            <w:pPr>
              <w:spacing w:before="240" w:after="240"/>
              <w:jc w:val="center"/>
              <w:rPr>
                <w:b/>
                <w:smallCaps/>
              </w:rPr>
            </w:pPr>
            <w:r>
              <w:rPr>
                <w:b/>
                <w:smallCaps/>
              </w:rPr>
              <w:lastRenderedPageBreak/>
              <w:t>10'</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B70BA" w:rsidRDefault="00997354">
            <w:pPr>
              <w:numPr>
                <w:ilvl w:val="0"/>
                <w:numId w:val="5"/>
              </w:numPr>
              <w:spacing w:before="60" w:after="60"/>
              <w:rPr>
                <w:b/>
                <w:smallCaps/>
              </w:rPr>
            </w:pPr>
            <w:r>
              <w:rPr>
                <w:b/>
                <w:smallCaps/>
                <w:color w:val="202124"/>
              </w:rPr>
              <w:t>temeljni proti instrumentalnim razlogom</w:t>
            </w:r>
          </w:p>
          <w:p w:rsidR="00CB70BA" w:rsidRDefault="00997354" w:rsidP="00482DF3">
            <w:pPr>
              <w:numPr>
                <w:ilvl w:val="0"/>
                <w:numId w:val="4"/>
              </w:numPr>
              <w:pBdr>
                <w:top w:val="nil"/>
                <w:left w:val="nil"/>
                <w:bottom w:val="nil"/>
                <w:right w:val="nil"/>
                <w:between w:val="nil"/>
              </w:pBdr>
              <w:spacing w:before="60" w:after="60"/>
              <w:jc w:val="both"/>
              <w:rPr>
                <w:color w:val="000000"/>
              </w:rPr>
            </w:pPr>
            <w:r>
              <w:rPr>
                <w:color w:val="000000"/>
              </w:rPr>
              <w:t>Učitelj povabi učence, naj delijo svoje zapiske.</w:t>
            </w:r>
          </w:p>
          <w:p w:rsidR="00CB70BA" w:rsidRDefault="00997354" w:rsidP="00482DF3">
            <w:pPr>
              <w:jc w:val="both"/>
            </w:pPr>
            <w:r>
              <w:t>Ko več učencev deli svoje zapiske, učitelj poudari pomen sprejemanja odločitev iz temeljnih, ne instrumentalnih razlogov.</w:t>
            </w:r>
          </w:p>
          <w:p w:rsidR="00CB70BA" w:rsidRDefault="00CB70BA" w:rsidP="00482DF3">
            <w:pPr>
              <w:jc w:val="both"/>
            </w:pPr>
          </w:p>
          <w:p w:rsidR="00CB70BA" w:rsidRDefault="00997354" w:rsidP="00482DF3">
            <w:pPr>
              <w:jc w:val="both"/>
            </w:pPr>
            <w:r>
              <w:t>Učitelj pojasnjuje, da to, da nekaj počnete iz instrumentalnih razlogov, pomeni, da mislite, da je vaše dejanje sredstvo za dosego cilja, da vas bo pripeljalo nekam na določeno mesto. Kaj pa, če ne gre?</w:t>
            </w:r>
          </w:p>
          <w:p w:rsidR="00CB70BA" w:rsidRDefault="00CB70BA" w:rsidP="00482DF3">
            <w:pPr>
              <w:jc w:val="both"/>
            </w:pPr>
          </w:p>
          <w:p w:rsidR="00CB70BA" w:rsidRDefault="00997354" w:rsidP="00482DF3">
            <w:pPr>
              <w:jc w:val="both"/>
            </w:pPr>
            <w:r>
              <w:t>Nadaljuje: »Če naredite nekaj iz temeljnih razlogov,</w:t>
            </w:r>
            <w:r>
              <w:t xml:space="preserve"> pomeni, da mislite, da je vaše dejanje samo po sebi dragoceno, ne glede na to, do česa vodi ali ne. Temeljno razmišljanje je bolj trajnostno. Spodbuja vas, da svoja dejanja uskladite s svojimi vrednotami, in vam omogoča prilagodljivost pri postavljanju ka</w:t>
            </w:r>
            <w:r>
              <w:t>riernih ciljev.”</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B70BA" w:rsidRDefault="00CB70BA">
            <w:pPr>
              <w:spacing w:after="60"/>
              <w:jc w:val="center"/>
            </w:pPr>
          </w:p>
          <w:p w:rsidR="00CB70BA" w:rsidRDefault="00CB70BA">
            <w:pPr>
              <w:spacing w:before="60" w:after="60"/>
              <w:jc w:val="center"/>
            </w:pPr>
          </w:p>
          <w:p w:rsidR="00CB70BA" w:rsidRDefault="00997354">
            <w:pPr>
              <w:jc w:val="center"/>
              <w:rPr>
                <w:color w:val="000000"/>
              </w:rPr>
            </w:pPr>
            <w:r>
              <w:rPr>
                <w:color w:val="0563C1"/>
                <w:u w:val="single"/>
              </w:rPr>
              <w:t xml:space="preserve"> </w:t>
            </w:r>
          </w:p>
          <w:p w:rsidR="00CB70BA" w:rsidRDefault="00997354">
            <w:pPr>
              <w:spacing w:before="60" w:after="60"/>
              <w:jc w:val="center"/>
            </w:pPr>
            <w:r>
              <w:t>Individualno delo ali delo v paru</w:t>
            </w:r>
          </w:p>
          <w:p w:rsidR="00CB70BA" w:rsidRDefault="00CB70BA">
            <w:pPr>
              <w:spacing w:before="60" w:after="60"/>
              <w:rPr>
                <w:b/>
              </w:rPr>
            </w:pPr>
          </w:p>
        </w:tc>
      </w:tr>
      <w:tr w:rsidR="00CB70BA" w:rsidTr="00482DF3">
        <w:tc>
          <w:tcPr>
            <w:tcW w:w="992" w:type="dxa"/>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B70BA" w:rsidRDefault="00997354">
            <w:pPr>
              <w:spacing w:before="120" w:after="120"/>
              <w:jc w:val="center"/>
              <w:rPr>
                <w:b/>
                <w:smallCaps/>
              </w:rPr>
            </w:pPr>
            <w:r>
              <w:rPr>
                <w:b/>
                <w:smallCaps/>
              </w:rPr>
              <w:t>Čas</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B70BA" w:rsidRDefault="00997354">
            <w:pPr>
              <w:spacing w:before="120" w:after="120"/>
              <w:ind w:left="360"/>
              <w:rPr>
                <w:b/>
              </w:rPr>
            </w:pPr>
            <w:r>
              <w:rPr>
                <w:b/>
                <w:smallCaps/>
              </w:rPr>
              <w:t>POSTOPEK (T: učitelj; SS: učenci)</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FFE599"/>
            <w:tcMar>
              <w:left w:w="70" w:type="dxa"/>
              <w:right w:w="70" w:type="dxa"/>
            </w:tcMar>
          </w:tcPr>
          <w:p w:rsidR="00CB70BA" w:rsidRDefault="00997354">
            <w:pPr>
              <w:spacing w:before="120" w:after="120"/>
              <w:jc w:val="center"/>
            </w:pPr>
            <w:r>
              <w:rPr>
                <w:b/>
              </w:rPr>
              <w:t>METODA</w:t>
            </w:r>
          </w:p>
        </w:tc>
      </w:tr>
      <w:tr w:rsidR="00CB70BA" w:rsidTr="00482DF3">
        <w:tc>
          <w:tcPr>
            <w:tcW w:w="99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B70BA" w:rsidRDefault="00997354">
            <w:pPr>
              <w:spacing w:before="60"/>
              <w:jc w:val="center"/>
              <w:rPr>
                <w:b/>
                <w:smallCaps/>
              </w:rPr>
            </w:pPr>
            <w:r>
              <w:rPr>
                <w:b/>
                <w:smallCaps/>
              </w:rPr>
              <w:t>2'</w:t>
            </w:r>
          </w:p>
        </w:tc>
        <w:tc>
          <w:tcPr>
            <w:tcW w:w="779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B70BA" w:rsidRDefault="00997354">
            <w:pPr>
              <w:numPr>
                <w:ilvl w:val="0"/>
                <w:numId w:val="5"/>
              </w:numPr>
              <w:spacing w:before="60"/>
              <w:rPr>
                <w:b/>
                <w:smallCaps/>
              </w:rPr>
            </w:pPr>
            <w:r>
              <w:rPr>
                <w:b/>
                <w:smallCaps/>
              </w:rPr>
              <w:t>Zaključna dejavnost</w:t>
            </w:r>
          </w:p>
          <w:p w:rsidR="00CB70BA" w:rsidRDefault="00997354" w:rsidP="00482DF3">
            <w:pPr>
              <w:numPr>
                <w:ilvl w:val="0"/>
                <w:numId w:val="1"/>
              </w:numPr>
              <w:pBdr>
                <w:top w:val="nil"/>
                <w:left w:val="nil"/>
                <w:bottom w:val="nil"/>
                <w:right w:val="nil"/>
                <w:between w:val="nil"/>
              </w:pBdr>
              <w:spacing w:before="60"/>
              <w:jc w:val="both"/>
              <w:rPr>
                <w:color w:val="000000"/>
              </w:rPr>
            </w:pPr>
            <w:r>
              <w:rPr>
                <w:color w:val="000000"/>
              </w:rPr>
              <w:t>Učitelj povzema: »Živeti moraš z določeno mero dvoumnosti o tem, da ne veš, kaj se bo zgodilo naslednje, vendar te ohranja biti pozoren na nepričakovane priložnosti in naključje.«</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CB70BA" w:rsidRDefault="00997354">
            <w:pPr>
              <w:spacing w:before="60" w:after="60"/>
              <w:jc w:val="center"/>
            </w:pPr>
            <w:r>
              <w:t>Individualno delo ali delo v paru</w:t>
            </w:r>
          </w:p>
          <w:p w:rsidR="00CB70BA" w:rsidRDefault="00CB70BA">
            <w:pPr>
              <w:spacing w:before="60"/>
              <w:jc w:val="center"/>
            </w:pPr>
          </w:p>
          <w:p w:rsidR="00CB70BA" w:rsidRDefault="00CB70BA">
            <w:pPr>
              <w:spacing w:before="60"/>
              <w:jc w:val="center"/>
            </w:pPr>
          </w:p>
        </w:tc>
      </w:tr>
    </w:tbl>
    <w:p w:rsidR="00CB70BA" w:rsidRDefault="00CB70BA"/>
    <w:sectPr w:rsidR="00CB70B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354" w:rsidRDefault="00997354">
      <w:r>
        <w:separator/>
      </w:r>
    </w:p>
  </w:endnote>
  <w:endnote w:type="continuationSeparator" w:id="0">
    <w:p w:rsidR="00997354" w:rsidRDefault="0099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BA" w:rsidRDefault="00CB70B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BA" w:rsidRDefault="00482DF3">
    <w:pPr>
      <w:pBdr>
        <w:top w:val="nil"/>
        <w:left w:val="nil"/>
        <w:bottom w:val="nil"/>
        <w:right w:val="nil"/>
        <w:between w:val="nil"/>
      </w:pBdr>
      <w:tabs>
        <w:tab w:val="center" w:pos="4536"/>
        <w:tab w:val="right" w:pos="9072"/>
      </w:tabs>
      <w:rPr>
        <w:color w:val="000000"/>
      </w:rPr>
    </w:pPr>
    <w:r w:rsidRPr="00482DF3">
      <w:rPr>
        <w:color w:val="000000"/>
      </w:rPr>
      <w:drawing>
        <wp:inline distT="0" distB="0" distL="0" distR="0" wp14:anchorId="3F72DE22" wp14:editId="441DD814">
          <wp:extent cx="8891270" cy="698500"/>
          <wp:effectExtent l="0" t="0" r="508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891270" cy="6985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BA" w:rsidRDefault="00CB70B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354" w:rsidRDefault="00997354">
      <w:r>
        <w:separator/>
      </w:r>
    </w:p>
  </w:footnote>
  <w:footnote w:type="continuationSeparator" w:id="0">
    <w:p w:rsidR="00997354" w:rsidRDefault="00997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BA" w:rsidRDefault="00CB70B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BA" w:rsidRDefault="00CB70BA">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CB70BA">
      <w:tc>
        <w:tcPr>
          <w:tcW w:w="4714" w:type="dxa"/>
          <w:shd w:val="clear" w:color="auto" w:fill="FFE599"/>
          <w:vAlign w:val="center"/>
        </w:tcPr>
        <w:p w:rsidR="00CB70BA" w:rsidRDefault="00997354">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KARIERNO SVETOVANJE</w:t>
          </w:r>
        </w:p>
      </w:tc>
      <w:tc>
        <w:tcPr>
          <w:tcW w:w="4715" w:type="dxa"/>
          <w:shd w:val="clear" w:color="auto" w:fill="FFE599"/>
          <w:vAlign w:val="center"/>
        </w:tcPr>
        <w:p w:rsidR="00CB70BA" w:rsidRDefault="00997354">
          <w:pPr>
            <w:pBdr>
              <w:top w:val="nil"/>
              <w:left w:val="nil"/>
              <w:bottom w:val="nil"/>
              <w:right w:val="nil"/>
              <w:between w:val="nil"/>
            </w:pBdr>
            <w:tabs>
              <w:tab w:val="center" w:pos="4536"/>
              <w:tab w:val="right" w:pos="9072"/>
              <w:tab w:val="center" w:pos="7002"/>
              <w:tab w:val="right" w:pos="14004"/>
            </w:tabs>
            <w:jc w:val="center"/>
            <w:rPr>
              <w:color w:val="000000"/>
            </w:rPr>
          </w:pPr>
          <w:r>
            <w:rPr>
              <w:noProof/>
              <w:color w:val="000000"/>
              <w:lang w:val="pl-PL"/>
            </w:rPr>
            <w:drawing>
              <wp:inline distT="0" distB="0" distL="0" distR="0">
                <wp:extent cx="769620" cy="7696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CB70BA" w:rsidRDefault="00997354">
          <w:pPr>
            <w:pBdr>
              <w:top w:val="nil"/>
              <w:left w:val="nil"/>
              <w:bottom w:val="nil"/>
              <w:right w:val="nil"/>
              <w:between w:val="nil"/>
            </w:pBdr>
            <w:tabs>
              <w:tab w:val="center" w:pos="4536"/>
              <w:tab w:val="right" w:pos="9072"/>
              <w:tab w:val="center" w:pos="7002"/>
              <w:tab w:val="right" w:pos="14004"/>
            </w:tabs>
            <w:jc w:val="center"/>
            <w:rPr>
              <w:color w:val="000000"/>
              <w:sz w:val="40"/>
              <w:szCs w:val="40"/>
            </w:rPr>
          </w:pPr>
          <w:r>
            <w:rPr>
              <w:color w:val="000000"/>
              <w:sz w:val="40"/>
              <w:szCs w:val="40"/>
            </w:rPr>
            <w:t>PRAKTIČEN PRISTOP</w:t>
          </w:r>
        </w:p>
      </w:tc>
    </w:tr>
  </w:tbl>
  <w:p w:rsidR="00CB70BA" w:rsidRDefault="00CB70B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BA" w:rsidRDefault="00CB70B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83778"/>
    <w:multiLevelType w:val="multilevel"/>
    <w:tmpl w:val="849A7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265E16"/>
    <w:multiLevelType w:val="multilevel"/>
    <w:tmpl w:val="77600D12"/>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EE80283"/>
    <w:multiLevelType w:val="multilevel"/>
    <w:tmpl w:val="099E6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F752662"/>
    <w:multiLevelType w:val="multilevel"/>
    <w:tmpl w:val="8D2C3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0361369"/>
    <w:multiLevelType w:val="multilevel"/>
    <w:tmpl w:val="BD341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0BA"/>
    <w:rsid w:val="00482DF3"/>
    <w:rsid w:val="00997354"/>
    <w:rsid w:val="00CB70BA"/>
    <w:rsid w:val="00D47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F9A6A-0161-44FE-A3B9-D84B0D82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2209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kamila</cp:lastModifiedBy>
  <cp:revision>4</cp:revision>
  <cp:lastPrinted>2023-12-01T18:39:00Z</cp:lastPrinted>
  <dcterms:created xsi:type="dcterms:W3CDTF">2023-12-01T18:38:00Z</dcterms:created>
  <dcterms:modified xsi:type="dcterms:W3CDTF">2023-12-01T18:39:00Z</dcterms:modified>
</cp:coreProperties>
</file>