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DA" w:rsidRDefault="00135004">
      <w:pPr>
        <w:shd w:val="clear" w:color="auto" w:fill="FFE599"/>
        <w:jc w:val="center"/>
        <w:rPr>
          <w:b/>
        </w:rPr>
      </w:pPr>
      <w:r>
        <w:rPr>
          <w:b/>
        </w:rPr>
        <w:t>Učni načrt</w:t>
      </w:r>
    </w:p>
    <w:p w:rsidR="00CA1EDA" w:rsidRDefault="00135004">
      <w:pPr>
        <w:spacing w:before="120" w:after="120"/>
        <w:jc w:val="center"/>
        <w:rPr>
          <w:b/>
        </w:rPr>
      </w:pPr>
      <w:r>
        <w:rPr>
          <w:b/>
        </w:rPr>
        <w:t>Karierno svetovanje</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331"/>
      </w:tblGrid>
      <w:tr w:rsidR="00CA1EDA">
        <w:trPr>
          <w:gridAfter w:val="1"/>
          <w:wAfter w:w="331" w:type="dxa"/>
          <w:trHeight w:val="227"/>
        </w:trPr>
        <w:tc>
          <w:tcPr>
            <w:tcW w:w="3828" w:type="dxa"/>
            <w:gridSpan w:val="2"/>
            <w:shd w:val="clear" w:color="auto" w:fill="FFE599"/>
          </w:tcPr>
          <w:p w:rsidR="00CA1EDA" w:rsidRDefault="00135004">
            <w:pPr>
              <w:spacing w:before="40" w:after="40"/>
            </w:pPr>
            <w:r>
              <w:rPr>
                <w:b/>
                <w:sz w:val="22"/>
                <w:szCs w:val="22"/>
              </w:rPr>
              <w:t>Raven, starost učencev</w:t>
            </w:r>
            <w:r>
              <w:rPr>
                <w:sz w:val="22"/>
                <w:szCs w:val="22"/>
              </w:rPr>
              <w:t>:</w:t>
            </w:r>
          </w:p>
        </w:tc>
        <w:tc>
          <w:tcPr>
            <w:tcW w:w="10158" w:type="dxa"/>
            <w:gridSpan w:val="2"/>
            <w:shd w:val="clear" w:color="auto" w:fill="auto"/>
          </w:tcPr>
          <w:p w:rsidR="00CA1EDA" w:rsidRDefault="00135004">
            <w:pPr>
              <w:spacing w:before="40" w:after="40"/>
              <w:rPr>
                <w:sz w:val="22"/>
                <w:szCs w:val="22"/>
              </w:rPr>
            </w:pPr>
            <w:r>
              <w:rPr>
                <w:sz w:val="22"/>
                <w:szCs w:val="22"/>
              </w:rPr>
              <w:t>14 – 18</w:t>
            </w:r>
          </w:p>
        </w:tc>
      </w:tr>
      <w:tr w:rsidR="00CA1EDA">
        <w:trPr>
          <w:gridAfter w:val="1"/>
          <w:wAfter w:w="331" w:type="dxa"/>
          <w:trHeight w:val="227"/>
        </w:trPr>
        <w:tc>
          <w:tcPr>
            <w:tcW w:w="3828" w:type="dxa"/>
            <w:gridSpan w:val="2"/>
            <w:shd w:val="clear" w:color="auto" w:fill="FFE599"/>
          </w:tcPr>
          <w:p w:rsidR="00CA1EDA" w:rsidRDefault="00135004">
            <w:pPr>
              <w:spacing w:before="40" w:after="40"/>
              <w:rPr>
                <w:b/>
              </w:rPr>
            </w:pPr>
            <w:r>
              <w:rPr>
                <w:b/>
              </w:rPr>
              <w:t>Predmet:</w:t>
            </w:r>
          </w:p>
        </w:tc>
        <w:tc>
          <w:tcPr>
            <w:tcW w:w="10158" w:type="dxa"/>
            <w:gridSpan w:val="2"/>
            <w:shd w:val="clear" w:color="auto" w:fill="auto"/>
          </w:tcPr>
          <w:p w:rsidR="00CA1EDA" w:rsidRDefault="00135004">
            <w:pPr>
              <w:spacing w:before="40" w:after="40"/>
            </w:pPr>
            <w:r>
              <w:t>Inkluzivno karierno svetovanje</w:t>
            </w:r>
          </w:p>
        </w:tc>
      </w:tr>
      <w:tr w:rsidR="00CA1EDA">
        <w:trPr>
          <w:gridAfter w:val="1"/>
          <w:wAfter w:w="331" w:type="dxa"/>
          <w:trHeight w:val="227"/>
        </w:trPr>
        <w:tc>
          <w:tcPr>
            <w:tcW w:w="3828" w:type="dxa"/>
            <w:gridSpan w:val="2"/>
            <w:shd w:val="clear" w:color="auto" w:fill="FFE599"/>
          </w:tcPr>
          <w:p w:rsidR="00CA1EDA" w:rsidRDefault="00135004">
            <w:pPr>
              <w:spacing w:before="40" w:after="40"/>
              <w:rPr>
                <w:b/>
              </w:rPr>
            </w:pPr>
            <w:r>
              <w:rPr>
                <w:b/>
              </w:rPr>
              <w:t>Vključeni predmeti:</w:t>
            </w:r>
          </w:p>
        </w:tc>
        <w:tc>
          <w:tcPr>
            <w:tcW w:w="10158" w:type="dxa"/>
            <w:gridSpan w:val="2"/>
            <w:shd w:val="clear" w:color="auto" w:fill="auto"/>
          </w:tcPr>
          <w:p w:rsidR="00CA1EDA" w:rsidRDefault="00135004">
            <w:pPr>
              <w:spacing w:before="40" w:after="40"/>
            </w:pPr>
            <w:r>
              <w:t>Svetovanje, raziskovanje kariere in vključevanje</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Cilji:</w:t>
            </w:r>
          </w:p>
        </w:tc>
        <w:tc>
          <w:tcPr>
            <w:tcW w:w="10158" w:type="dxa"/>
            <w:gridSpan w:val="2"/>
            <w:shd w:val="clear" w:color="auto" w:fill="auto"/>
          </w:tcPr>
          <w:p w:rsidR="00CA1EDA" w:rsidRDefault="00135004">
            <w:pPr>
              <w:spacing w:before="40" w:after="40"/>
            </w:pPr>
            <w:r>
              <w:t>Študentom pomagati raziskati svoje karierne možnosti in interese na vključujoč način.</w:t>
            </w:r>
          </w:p>
          <w:p w:rsidR="00CA1EDA" w:rsidRDefault="00135004">
            <w:pPr>
              <w:spacing w:before="40" w:after="40"/>
            </w:pPr>
            <w:r>
              <w:t>Razumeti pomen raznolikosti in inkluzivnosti na delovnem mestu.</w:t>
            </w:r>
          </w:p>
          <w:p w:rsidR="00CA1EDA" w:rsidRDefault="00135004">
            <w:pPr>
              <w:spacing w:before="40" w:after="40"/>
            </w:pPr>
            <w:r>
              <w:t>Naučiti se prepoznati in odpraviti ovire za uspeh v karieri za premalo zastopane skupine.</w:t>
            </w:r>
          </w:p>
          <w:p w:rsidR="00CA1EDA" w:rsidRDefault="00135004">
            <w:pPr>
              <w:spacing w:before="40" w:after="40"/>
            </w:pPr>
            <w:r>
              <w:t>Razviti akcijski načrt za doseganje svojih kariernih ciljev na vključujoč način.</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Predlagano število učencev na skupino:</w:t>
            </w:r>
          </w:p>
        </w:tc>
        <w:tc>
          <w:tcPr>
            <w:tcW w:w="10158" w:type="dxa"/>
            <w:gridSpan w:val="2"/>
            <w:shd w:val="clear" w:color="auto" w:fill="auto"/>
          </w:tcPr>
          <w:p w:rsidR="00CA1EDA" w:rsidRDefault="00135004">
            <w:pPr>
              <w:spacing w:before="40" w:after="40"/>
            </w:pPr>
            <w:r>
              <w:t>10 – 20</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Čas glavne dejavnosti:</w:t>
            </w:r>
          </w:p>
        </w:tc>
        <w:tc>
          <w:tcPr>
            <w:tcW w:w="10158" w:type="dxa"/>
            <w:gridSpan w:val="2"/>
            <w:shd w:val="clear" w:color="auto" w:fill="auto"/>
          </w:tcPr>
          <w:p w:rsidR="00CA1EDA" w:rsidRDefault="00135004">
            <w:pPr>
              <w:spacing w:before="40" w:after="40"/>
            </w:pPr>
            <w:r>
              <w:t>17 minut</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Material:</w:t>
            </w:r>
          </w:p>
        </w:tc>
        <w:tc>
          <w:tcPr>
            <w:tcW w:w="10158" w:type="dxa"/>
            <w:gridSpan w:val="2"/>
            <w:shd w:val="clear" w:color="auto" w:fill="auto"/>
          </w:tcPr>
          <w:p w:rsidR="00CA1EDA" w:rsidRDefault="00135004">
            <w:pPr>
              <w:spacing w:before="40" w:after="40"/>
            </w:pPr>
            <w:r>
              <w:t>Tabla in markerji,</w:t>
            </w:r>
          </w:p>
          <w:p w:rsidR="00CA1EDA" w:rsidRDefault="00135004">
            <w:pPr>
              <w:spacing w:before="40" w:after="40"/>
            </w:pPr>
            <w:r>
              <w:t>Gradivo o raziskovanju kariere in strategijah iskanja zaposlitve,</w:t>
            </w:r>
          </w:p>
          <w:p w:rsidR="00CA1EDA" w:rsidRDefault="00135004">
            <w:pPr>
              <w:spacing w:before="40" w:after="40"/>
            </w:pPr>
            <w:r>
              <w:t>Računalnik z dostopom do interneta za raziskovanje kariernih možnosti in prostih delovnih mest,</w:t>
            </w:r>
          </w:p>
          <w:p w:rsidR="00CA1EDA" w:rsidRDefault="00135004">
            <w:pPr>
              <w:spacing w:before="40" w:after="40"/>
            </w:pPr>
            <w:r>
              <w:t>Pero in papir za zapisovanje.</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Kompetence:</w:t>
            </w:r>
          </w:p>
        </w:tc>
        <w:tc>
          <w:tcPr>
            <w:tcW w:w="10158" w:type="dxa"/>
            <w:gridSpan w:val="2"/>
            <w:shd w:val="clear" w:color="auto" w:fill="auto"/>
          </w:tcPr>
          <w:p w:rsidR="00CA1EDA" w:rsidRDefault="00135004">
            <w:pPr>
              <w:spacing w:before="40" w:after="40"/>
            </w:pPr>
            <w:r>
              <w:t>Analitično razmišljanje, komunikacija, aktivno poslušanje, empatija, reševanje problemov, upravljanje časa.</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Predpriprava, če je potrebna:</w:t>
            </w:r>
          </w:p>
        </w:tc>
        <w:tc>
          <w:tcPr>
            <w:tcW w:w="10158" w:type="dxa"/>
            <w:gridSpan w:val="2"/>
            <w:shd w:val="clear" w:color="auto" w:fill="auto"/>
          </w:tcPr>
          <w:p w:rsidR="00CA1EDA" w:rsidRDefault="0013500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Pred sejo mora učitelj jasno razumeti študentovo akademsko ozadje, interese, vrednote in osebnostne lastnosti. Učitelj mora raziskati tudi potencialne kariere in prosta delovna mesta, ki so v skladu s cilji in veščinami učencev. Te informacije bodo uporabljene za vodenje seje in pomoč študentom pri sprejemanju odločitev na podlagi informacij.</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lastRenderedPageBreak/>
              <w:t>Pričakovani rezultati:</w:t>
            </w:r>
          </w:p>
        </w:tc>
        <w:tc>
          <w:tcPr>
            <w:tcW w:w="10158" w:type="dxa"/>
            <w:gridSpan w:val="2"/>
            <w:shd w:val="clear" w:color="auto" w:fill="auto"/>
          </w:tcPr>
          <w:p w:rsidR="00CA1EDA" w:rsidRDefault="0013500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Do konca predavanja</w:t>
            </w:r>
            <w:bookmarkStart w:id="0" w:name="_GoBack"/>
            <w:bookmarkEnd w:id="0"/>
            <w:r>
              <w:rPr>
                <w:color w:val="000000"/>
              </w:rPr>
              <w:t xml:space="preserve"> bi morali študenti bolje razumeti pomen raznolikosti in vključenosti v kariernem svetovanju. Morali bi biti sposobni prepoznati potencialne poklicne možnosti, ki so v skladu z njihovimi interesi, veščinami in vrednotami, hkrati pa ponujajo priložnosti za vključevanje. Študenti bi morali imeti tudi akcijski načrt za uresničevanje svojih kariernih ciljev na vključujoč način.</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Pričakovane težave:</w:t>
            </w:r>
          </w:p>
        </w:tc>
        <w:tc>
          <w:tcPr>
            <w:tcW w:w="10158" w:type="dxa"/>
            <w:gridSpan w:val="2"/>
            <w:shd w:val="clear" w:color="auto" w:fill="auto"/>
          </w:tcPr>
          <w:p w:rsidR="00CA1EDA" w:rsidRDefault="0013500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Nekateri učenci imajo morda težave pri izražanju svojih interesov, vrednot in ciljev. Svetovalec mora uporabiti aktivno poslušanje in empatijo, da pomaga študentu prepoznati te dejavnike. Poleg tega imajo lahko nekateri študenti težave pri prepoznavanju potencialnih kariernih možnosti ali pa se počutijo preobremenjene s postopkom iskanja zaposlitve. Svetovalec mora študentom nuditi podporo in smernice, ki jim bodo pomagale premagati te izzive.</w:t>
            </w:r>
          </w:p>
        </w:tc>
      </w:tr>
      <w:tr w:rsidR="00CA1EDA">
        <w:trPr>
          <w:gridAfter w:val="1"/>
          <w:wAfter w:w="331" w:type="dxa"/>
        </w:trPr>
        <w:tc>
          <w:tcPr>
            <w:tcW w:w="3828" w:type="dxa"/>
            <w:gridSpan w:val="2"/>
            <w:shd w:val="clear" w:color="auto" w:fill="FFE599"/>
          </w:tcPr>
          <w:p w:rsidR="00CA1EDA" w:rsidRDefault="00135004">
            <w:pPr>
              <w:spacing w:before="40" w:after="40"/>
              <w:rPr>
                <w:b/>
              </w:rPr>
            </w:pPr>
            <w:r>
              <w:rPr>
                <w:b/>
              </w:rPr>
              <w:t>Morebitni nadaljnji ukrepi:</w:t>
            </w:r>
          </w:p>
        </w:tc>
        <w:tc>
          <w:tcPr>
            <w:tcW w:w="10158" w:type="dxa"/>
            <w:gridSpan w:val="2"/>
            <w:shd w:val="clear" w:color="auto" w:fill="auto"/>
          </w:tcPr>
          <w:p w:rsidR="00CA1EDA" w:rsidRDefault="0013500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Učitelj naj načrtuje nadaljnjo sejo, da preveri napredek učencev in po potrebi zagotovi dodatno podporo.</w:t>
            </w:r>
          </w:p>
        </w:tc>
      </w:tr>
      <w:tr w:rsidR="00CA1EDA">
        <w:tc>
          <w:tcPr>
            <w:tcW w:w="993" w:type="dxa"/>
            <w:shd w:val="clear" w:color="auto" w:fill="FFE599"/>
            <w:tcMar>
              <w:left w:w="70" w:type="dxa"/>
              <w:right w:w="70" w:type="dxa"/>
            </w:tcMar>
          </w:tcPr>
          <w:p w:rsidR="00CA1EDA" w:rsidRDefault="00135004">
            <w:pPr>
              <w:spacing w:before="240" w:after="240"/>
              <w:jc w:val="center"/>
              <w:rPr>
                <w:b/>
                <w:smallCaps/>
              </w:rPr>
            </w:pPr>
            <w:r>
              <w:rPr>
                <w:b/>
                <w:smallCaps/>
              </w:rPr>
              <w:t>Čas</w:t>
            </w:r>
          </w:p>
        </w:tc>
        <w:tc>
          <w:tcPr>
            <w:tcW w:w="7795" w:type="dxa"/>
            <w:gridSpan w:val="2"/>
            <w:shd w:val="clear" w:color="auto" w:fill="FFE599"/>
            <w:tcMar>
              <w:left w:w="70" w:type="dxa"/>
              <w:right w:w="70" w:type="dxa"/>
            </w:tcMar>
          </w:tcPr>
          <w:p w:rsidR="00CA1EDA" w:rsidRDefault="00135004">
            <w:pPr>
              <w:spacing w:before="240" w:after="240"/>
              <w:jc w:val="center"/>
              <w:rPr>
                <w:b/>
                <w:smallCaps/>
              </w:rPr>
            </w:pPr>
            <w:r>
              <w:rPr>
                <w:b/>
                <w:smallCaps/>
              </w:rPr>
              <w:t>POSTOPEK (T: učitelj; SS: učenci; O: drugi)</w:t>
            </w:r>
          </w:p>
        </w:tc>
        <w:tc>
          <w:tcPr>
            <w:tcW w:w="5529" w:type="dxa"/>
            <w:gridSpan w:val="2"/>
            <w:shd w:val="clear" w:color="auto" w:fill="FFE599"/>
            <w:tcMar>
              <w:left w:w="70" w:type="dxa"/>
              <w:right w:w="70" w:type="dxa"/>
            </w:tcMar>
          </w:tcPr>
          <w:p w:rsidR="00CA1EDA" w:rsidRDefault="00135004">
            <w:pPr>
              <w:spacing w:before="240" w:after="240"/>
              <w:jc w:val="center"/>
              <w:rPr>
                <w:b/>
              </w:rPr>
            </w:pPr>
            <w:r>
              <w:rPr>
                <w:b/>
              </w:rPr>
              <w:t>METODA</w:t>
            </w:r>
          </w:p>
        </w:tc>
      </w:tr>
      <w:tr w:rsidR="00CA1EDA">
        <w:tc>
          <w:tcPr>
            <w:tcW w:w="993" w:type="dxa"/>
            <w:shd w:val="clear" w:color="auto" w:fill="auto"/>
            <w:tcMar>
              <w:left w:w="70" w:type="dxa"/>
              <w:right w:w="70" w:type="dxa"/>
            </w:tcMar>
            <w:vAlign w:val="center"/>
          </w:tcPr>
          <w:p w:rsidR="00CA1EDA" w:rsidRDefault="00135004">
            <w:pPr>
              <w:jc w:val="center"/>
              <w:rPr>
                <w:b/>
                <w:smallCaps/>
              </w:rPr>
            </w:pPr>
            <w:r>
              <w:rPr>
                <w:b/>
                <w:smallCaps/>
              </w:rPr>
              <w:t>5'</w:t>
            </w:r>
          </w:p>
        </w:tc>
        <w:tc>
          <w:tcPr>
            <w:tcW w:w="7795" w:type="dxa"/>
            <w:gridSpan w:val="2"/>
            <w:shd w:val="clear" w:color="auto" w:fill="auto"/>
          </w:tcPr>
          <w:p w:rsidR="00CA1EDA" w:rsidRDefault="00135004" w:rsidP="005459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pPr>
            <w:r>
              <w:rPr>
                <w:color w:val="202124"/>
              </w:rPr>
              <w:t>Nekateri učenci imajo morda težave pri izražanju svojih interesov, vrednot in ciljev. Svetovalec mora uporabiti aktivno poslušanje in empatijo, da pomaga študentu prepoznati te dejavnike. Poleg tega imajo lahko nekateri študenti težave pri prepoznavanju potencialnih kariernih možnosti ali pa se počutijo preobremenjene s postopkom iskanja zaposlitve. Svetovalec mora študentom nuditi podporo in smernice, ki jim bodo pomagale premagati te izzive.</w:t>
            </w:r>
          </w:p>
        </w:tc>
        <w:tc>
          <w:tcPr>
            <w:tcW w:w="5529" w:type="dxa"/>
            <w:gridSpan w:val="2"/>
            <w:shd w:val="clear" w:color="auto" w:fill="auto"/>
            <w:tcMar>
              <w:left w:w="70" w:type="dxa"/>
              <w:right w:w="70" w:type="dxa"/>
            </w:tcMar>
          </w:tcPr>
          <w:p w:rsidR="00CA1EDA" w:rsidRDefault="00135004">
            <w:pPr>
              <w:jc w:val="center"/>
            </w:pPr>
            <w:r>
              <w:t>Brainstorming</w:t>
            </w:r>
          </w:p>
          <w:p w:rsidR="00CA1EDA" w:rsidRDefault="00CA1EDA">
            <w:pPr>
              <w:jc w:val="center"/>
            </w:pPr>
          </w:p>
          <w:p w:rsidR="00CA1EDA" w:rsidRDefault="00135004">
            <w:pPr>
              <w:jc w:val="center"/>
            </w:pPr>
            <w:r>
              <w:t>Individualno delo</w:t>
            </w:r>
          </w:p>
          <w:p w:rsidR="00CA1EDA" w:rsidRDefault="00CA1EDA"/>
        </w:tc>
      </w:tr>
      <w:tr w:rsidR="00CA1EDA">
        <w:trPr>
          <w:trHeight w:val="1336"/>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A1EDA" w:rsidRDefault="00135004">
            <w:pPr>
              <w:spacing w:before="240" w:after="240"/>
              <w:jc w:val="center"/>
              <w:rPr>
                <w:b/>
                <w:smallCaps/>
              </w:rPr>
            </w:pPr>
            <w:r>
              <w:rPr>
                <w:b/>
                <w:smallCaps/>
              </w:rPr>
              <w:t>10'</w:t>
            </w:r>
          </w:p>
        </w:tc>
        <w:tc>
          <w:tcPr>
            <w:tcW w:w="7795" w:type="dxa"/>
            <w:gridSpan w:val="2"/>
            <w:shd w:val="clear" w:color="auto" w:fill="auto"/>
          </w:tcPr>
          <w:p w:rsidR="00CA1EDA" w:rsidRDefault="00135004" w:rsidP="005459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pPr>
            <w:r>
              <w:t>Učitelj naj načrtuje nadaljnjo sejo, da preveri napredek učencev in po potrebi zagotovi dodatno podporo.</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A1EDA" w:rsidRDefault="00135004">
            <w:pPr>
              <w:rPr>
                <w:color w:val="000000"/>
              </w:rPr>
            </w:pPr>
            <w:r>
              <w:rPr>
                <w:color w:val="0563C1"/>
                <w:u w:val="single"/>
              </w:rPr>
              <w:t xml:space="preserve"> </w:t>
            </w:r>
          </w:p>
          <w:p w:rsidR="00CA1EDA" w:rsidRDefault="00135004">
            <w:pPr>
              <w:spacing w:before="60" w:after="60"/>
              <w:jc w:val="center"/>
            </w:pPr>
            <w:r>
              <w:t>Individualno delo ali delo v paru</w:t>
            </w:r>
          </w:p>
          <w:p w:rsidR="00CA1EDA" w:rsidRDefault="00CA1EDA">
            <w:pPr>
              <w:spacing w:before="60" w:after="60"/>
              <w:jc w:val="center"/>
              <w:rPr>
                <w:b/>
              </w:rPr>
            </w:pPr>
          </w:p>
        </w:tc>
      </w:tr>
      <w:tr w:rsidR="00CA1EDA">
        <w:tc>
          <w:tcPr>
            <w:tcW w:w="993"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A1EDA" w:rsidRDefault="00135004">
            <w:pPr>
              <w:spacing w:before="120" w:after="120"/>
              <w:jc w:val="center"/>
              <w:rPr>
                <w:b/>
                <w:smallCaps/>
              </w:rPr>
            </w:pPr>
            <w:r>
              <w:rPr>
                <w:b/>
                <w:smallCaps/>
              </w:rPr>
              <w:lastRenderedPageBreak/>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A1EDA" w:rsidRDefault="00135004">
            <w:pPr>
              <w:spacing w:before="120" w:after="120"/>
              <w:ind w:left="360"/>
              <w:rPr>
                <w:b/>
              </w:rPr>
            </w:pPr>
            <w:r>
              <w:rPr>
                <w:b/>
                <w:smallCaps/>
              </w:rPr>
              <w:t>POSTOPEK (T: učitelj; SS: učenci)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A1EDA" w:rsidRDefault="00135004">
            <w:pPr>
              <w:spacing w:before="120" w:after="120"/>
              <w:jc w:val="center"/>
            </w:pPr>
            <w:r>
              <w:rPr>
                <w:b/>
              </w:rPr>
              <w:t>METODA</w:t>
            </w:r>
          </w:p>
        </w:tc>
      </w:tr>
      <w:tr w:rsidR="00CA1EDA">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A1EDA" w:rsidRDefault="00135004">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A1EDA" w:rsidRDefault="00135004">
            <w:pPr>
              <w:numPr>
                <w:ilvl w:val="0"/>
                <w:numId w:val="3"/>
              </w:numPr>
              <w:spacing w:before="60"/>
              <w:rPr>
                <w:b/>
                <w:smallCaps/>
              </w:rPr>
            </w:pPr>
            <w:bookmarkStart w:id="1" w:name="_gjdgxs" w:colFirst="0" w:colLast="0"/>
            <w:bookmarkEnd w:id="1"/>
            <w:r>
              <w:rPr>
                <w:b/>
                <w:smallCaps/>
              </w:rPr>
              <w:t>Zaključna dejavnost</w:t>
            </w:r>
          </w:p>
          <w:p w:rsidR="00CA1EDA" w:rsidRDefault="00135004">
            <w:pPr>
              <w:spacing w:before="60"/>
              <w:rPr>
                <w:color w:val="000000"/>
              </w:rPr>
            </w:pPr>
            <w:r>
              <w:rPr>
                <w:b/>
                <w:color w:val="000000"/>
              </w:rPr>
              <w:t xml:space="preserve">Cilj: </w:t>
            </w:r>
            <w:r>
              <w:rPr>
                <w:color w:val="000000"/>
              </w:rPr>
              <w:t>Refleksija študentov</w:t>
            </w:r>
          </w:p>
          <w:p w:rsidR="00CA1EDA" w:rsidRDefault="00135004" w:rsidP="00545953">
            <w:pPr>
              <w:pBdr>
                <w:top w:val="nil"/>
                <w:left w:val="nil"/>
                <w:bottom w:val="nil"/>
                <w:right w:val="nil"/>
                <w:between w:val="nil"/>
              </w:pBdr>
              <w:rPr>
                <w:color w:val="000000"/>
              </w:rPr>
            </w:pPr>
            <w:r>
              <w:rPr>
                <w:color w:val="000000"/>
              </w:rPr>
              <w:t xml:space="preserve">Učitelj lahko študente prosi, naj dokončajo kratko pisno refleksijo o tem, kaj so se naučili </w:t>
            </w:r>
            <w:r>
              <w:t xml:space="preserve">pri </w:t>
            </w:r>
            <w:r>
              <w:rPr>
                <w:color w:val="000000"/>
              </w:rPr>
              <w:t>uri.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A1EDA" w:rsidRDefault="00CA1EDA">
            <w:pPr>
              <w:spacing w:before="60"/>
              <w:jc w:val="center"/>
            </w:pPr>
          </w:p>
          <w:p w:rsidR="00CA1EDA" w:rsidRDefault="00CA1EDA">
            <w:pPr>
              <w:spacing w:before="60"/>
              <w:jc w:val="center"/>
            </w:pPr>
          </w:p>
          <w:p w:rsidR="00CA1EDA" w:rsidRDefault="00135004">
            <w:pPr>
              <w:spacing w:before="60" w:after="60"/>
              <w:jc w:val="center"/>
            </w:pPr>
            <w:r>
              <w:t>Individualno delo ali delo v paru</w:t>
            </w:r>
          </w:p>
          <w:p w:rsidR="00CA1EDA" w:rsidRDefault="00CA1EDA">
            <w:pPr>
              <w:spacing w:before="60"/>
              <w:jc w:val="center"/>
            </w:pPr>
          </w:p>
          <w:p w:rsidR="00CA1EDA" w:rsidRDefault="00CA1EDA">
            <w:pPr>
              <w:spacing w:before="60"/>
              <w:jc w:val="center"/>
            </w:pPr>
          </w:p>
        </w:tc>
      </w:tr>
    </w:tbl>
    <w:p w:rsidR="00CA1EDA" w:rsidRDefault="00CA1EDA"/>
    <w:sectPr w:rsidR="00CA1ED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DEB" w:rsidRDefault="00B55DEB">
      <w:r>
        <w:separator/>
      </w:r>
    </w:p>
  </w:endnote>
  <w:endnote w:type="continuationSeparator" w:id="0">
    <w:p w:rsidR="00B55DEB" w:rsidRDefault="00B5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CA1ED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87659A">
    <w:pPr>
      <w:pBdr>
        <w:top w:val="nil"/>
        <w:left w:val="nil"/>
        <w:bottom w:val="nil"/>
        <w:right w:val="nil"/>
        <w:between w:val="nil"/>
      </w:pBdr>
      <w:tabs>
        <w:tab w:val="center" w:pos="4536"/>
        <w:tab w:val="right" w:pos="9072"/>
      </w:tabs>
      <w:rPr>
        <w:color w:val="000000"/>
      </w:rPr>
    </w:pPr>
    <w:r w:rsidRPr="0087659A">
      <w:rPr>
        <w:color w:val="000000"/>
      </w:rPr>
      <w:drawing>
        <wp:inline distT="0" distB="0" distL="0" distR="0" wp14:anchorId="7CAFDF83" wp14:editId="53E5D8A9">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CA1ED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DEB" w:rsidRDefault="00B55DEB">
      <w:r>
        <w:separator/>
      </w:r>
    </w:p>
  </w:footnote>
  <w:footnote w:type="continuationSeparator" w:id="0">
    <w:p w:rsidR="00B55DEB" w:rsidRDefault="00B5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CA1ED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CA1EDA">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CA1EDA">
      <w:tc>
        <w:tcPr>
          <w:tcW w:w="4714" w:type="dxa"/>
          <w:shd w:val="clear" w:color="auto" w:fill="FFE599"/>
          <w:vAlign w:val="center"/>
        </w:tcPr>
        <w:p w:rsidR="00CA1EDA" w:rsidRDefault="00135004">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CA1EDA" w:rsidRDefault="00135004">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CA1EDA" w:rsidRDefault="00135004">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CA1EDA" w:rsidRDefault="00CA1ED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A" w:rsidRDefault="00CA1ED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E7BD6"/>
    <w:multiLevelType w:val="multilevel"/>
    <w:tmpl w:val="48543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01A7637"/>
    <w:multiLevelType w:val="multilevel"/>
    <w:tmpl w:val="BC26AE28"/>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AC51E61"/>
    <w:multiLevelType w:val="multilevel"/>
    <w:tmpl w:val="6CF0B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A"/>
    <w:rsid w:val="00135004"/>
    <w:rsid w:val="00545953"/>
    <w:rsid w:val="0087659A"/>
    <w:rsid w:val="00B55DEB"/>
    <w:rsid w:val="00CA1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F2CDB-453A-420F-9BBE-B2BEF2F9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2023-12-01T18:33:00Z</cp:lastPrinted>
  <dcterms:created xsi:type="dcterms:W3CDTF">2023-11-30T19:14:00Z</dcterms:created>
  <dcterms:modified xsi:type="dcterms:W3CDTF">2023-12-01T18:33:00Z</dcterms:modified>
</cp:coreProperties>
</file>