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1EF73" w14:textId="18A00FA7" w:rsidR="00895E77" w:rsidRPr="00C637C7" w:rsidRDefault="00CE2E82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Óravázlat</w:t>
      </w:r>
      <w:proofErr w:type="spellEnd"/>
    </w:p>
    <w:p w14:paraId="50CC06D0" w14:textId="759060A8" w:rsidR="00895E77" w:rsidRPr="00AA21DE" w:rsidRDefault="00CE2E82" w:rsidP="00CE2E82">
      <w:pPr>
        <w:pStyle w:val="HTML-wstpniesformatowan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1DE">
        <w:rPr>
          <w:rStyle w:val="y2iqfc"/>
          <w:rFonts w:ascii="Times New Roman" w:hAnsi="Times New Roman" w:cs="Times New Roman"/>
          <w:b/>
          <w:sz w:val="24"/>
          <w:szCs w:val="24"/>
        </w:rPr>
        <w:t>A történelemtanulás hatásának elemzése a karriertervezésben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  <w:gridCol w:w="6379"/>
      </w:tblGrid>
      <w:tr w:rsidR="00CE2E82" w:rsidRPr="00AA21DE" w14:paraId="0B407868" w14:textId="77777777" w:rsidTr="00206B9B">
        <w:tc>
          <w:tcPr>
            <w:tcW w:w="2835" w:type="dxa"/>
            <w:shd w:val="clear" w:color="auto" w:fill="FFE599"/>
          </w:tcPr>
          <w:p w14:paraId="3E2E32F4" w14:textId="2303EFBC" w:rsidR="00CE2E82" w:rsidRPr="00AA21DE" w:rsidRDefault="00CE2E82" w:rsidP="00CE2E82">
            <w:pPr>
              <w:spacing w:before="120" w:after="120"/>
              <w:rPr>
                <w:szCs w:val="24"/>
                <w:lang w:val="en-US"/>
              </w:rPr>
            </w:pPr>
            <w:r w:rsidRPr="00AA21DE">
              <w:rPr>
                <w:b/>
                <w:bCs/>
                <w:szCs w:val="24"/>
              </w:rPr>
              <w:t xml:space="preserve">A </w:t>
            </w:r>
            <w:proofErr w:type="spellStart"/>
            <w:r w:rsidRPr="00AA21DE">
              <w:rPr>
                <w:b/>
                <w:bCs/>
                <w:szCs w:val="24"/>
              </w:rPr>
              <w:t>diákok</w:t>
            </w:r>
            <w:proofErr w:type="spellEnd"/>
            <w:r w:rsidRPr="00AA21DE">
              <w:rPr>
                <w:b/>
                <w:bCs/>
                <w:szCs w:val="24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</w:rPr>
              <w:t>szintje</w:t>
            </w:r>
            <w:proofErr w:type="spellEnd"/>
            <w:r w:rsidRPr="00AA21DE">
              <w:rPr>
                <w:b/>
                <w:bCs/>
                <w:szCs w:val="24"/>
              </w:rPr>
              <w:t xml:space="preserve">, </w:t>
            </w:r>
            <w:proofErr w:type="spellStart"/>
            <w:r w:rsidRPr="00AA21DE">
              <w:rPr>
                <w:b/>
                <w:bCs/>
                <w:szCs w:val="24"/>
              </w:rPr>
              <w:t>életkora</w:t>
            </w:r>
            <w:proofErr w:type="spellEnd"/>
            <w:r w:rsidRPr="00AA21DE">
              <w:rPr>
                <w:szCs w:val="24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0D6588DF" w14:textId="0BF7E58E" w:rsidR="00CE2E82" w:rsidRPr="00AA21DE" w:rsidRDefault="00CE2E82" w:rsidP="00CE2E82">
            <w:pPr>
              <w:spacing w:before="120" w:after="120"/>
              <w:rPr>
                <w:szCs w:val="24"/>
                <w:lang w:val="en-US"/>
              </w:rPr>
            </w:pPr>
            <w:r w:rsidRPr="00AA21DE">
              <w:rPr>
                <w:szCs w:val="24"/>
                <w:lang w:val="en-US"/>
              </w:rPr>
              <w:t xml:space="preserve"> 11. </w:t>
            </w:r>
            <w:proofErr w:type="spellStart"/>
            <w:r w:rsidRPr="00AA21DE">
              <w:rPr>
                <w:szCs w:val="24"/>
                <w:lang w:val="en-US"/>
              </w:rPr>
              <w:t>osztály</w:t>
            </w:r>
            <w:proofErr w:type="spellEnd"/>
            <w:r w:rsidRPr="00AA21DE">
              <w:rPr>
                <w:szCs w:val="24"/>
                <w:lang w:val="en-US"/>
              </w:rPr>
              <w:t xml:space="preserve"> / 16 </w:t>
            </w:r>
            <w:proofErr w:type="spellStart"/>
            <w:r w:rsidRPr="00AA21DE">
              <w:rPr>
                <w:szCs w:val="24"/>
                <w:lang w:val="en-US"/>
              </w:rPr>
              <w:t>évesek</w:t>
            </w:r>
            <w:proofErr w:type="spellEnd"/>
            <w:r w:rsidRPr="00AA21DE">
              <w:rPr>
                <w:szCs w:val="24"/>
                <w:lang w:val="en-US"/>
              </w:rPr>
              <w:t xml:space="preserve"> </w:t>
            </w:r>
          </w:p>
        </w:tc>
      </w:tr>
      <w:tr w:rsidR="00CE2E82" w:rsidRPr="00AA21DE" w14:paraId="407D9DEC" w14:textId="77777777" w:rsidTr="00206B9B">
        <w:tc>
          <w:tcPr>
            <w:tcW w:w="2835" w:type="dxa"/>
            <w:shd w:val="clear" w:color="auto" w:fill="FFE599"/>
          </w:tcPr>
          <w:p w14:paraId="4357D365" w14:textId="4375C745" w:rsidR="00CE2E82" w:rsidRPr="00AA21DE" w:rsidRDefault="00CE2E82" w:rsidP="00CE2E8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AA21DE">
              <w:rPr>
                <w:b/>
                <w:bCs/>
                <w:szCs w:val="24"/>
              </w:rPr>
              <w:t>Tantárgy</w:t>
            </w:r>
            <w:proofErr w:type="spellEnd"/>
            <w:r w:rsidRPr="00AA21DE">
              <w:rPr>
                <w:b/>
                <w:bCs/>
                <w:szCs w:val="24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1B55AA94" w14:textId="65A7E421" w:rsidR="00CE2E82" w:rsidRPr="00AA21DE" w:rsidRDefault="00CE2E82" w:rsidP="00CE2E8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AA21DE">
              <w:rPr>
                <w:szCs w:val="24"/>
                <w:lang w:val="en-US"/>
              </w:rPr>
              <w:t>Történelem</w:t>
            </w:r>
            <w:proofErr w:type="spellEnd"/>
          </w:p>
        </w:tc>
      </w:tr>
      <w:tr w:rsidR="00CE2E82" w:rsidRPr="00AA21DE" w14:paraId="4A199D6A" w14:textId="77777777" w:rsidTr="00206B9B">
        <w:tc>
          <w:tcPr>
            <w:tcW w:w="2835" w:type="dxa"/>
            <w:shd w:val="clear" w:color="auto" w:fill="FFE599"/>
          </w:tcPr>
          <w:p w14:paraId="2E203C61" w14:textId="5FAD6EC0" w:rsidR="00CE2E82" w:rsidRPr="00AA21DE" w:rsidRDefault="00210CA0" w:rsidP="00CE2E8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</w:rPr>
              <w:t>K</w:t>
            </w:r>
            <w:r>
              <w:rPr>
                <w:b/>
                <w:bCs/>
              </w:rPr>
              <w:t>apcsolódó</w:t>
            </w:r>
            <w:proofErr w:type="spellEnd"/>
            <w:r w:rsidR="00CE2E82" w:rsidRPr="00AA21DE">
              <w:rPr>
                <w:b/>
                <w:bCs/>
                <w:szCs w:val="24"/>
              </w:rPr>
              <w:t xml:space="preserve"> </w:t>
            </w:r>
            <w:proofErr w:type="spellStart"/>
            <w:r w:rsidR="00CE2E82" w:rsidRPr="00AA21DE">
              <w:rPr>
                <w:b/>
                <w:bCs/>
                <w:szCs w:val="24"/>
              </w:rPr>
              <w:t>területek</w:t>
            </w:r>
            <w:proofErr w:type="spellEnd"/>
            <w:r w:rsidR="00CE2E82" w:rsidRPr="00AA21DE">
              <w:rPr>
                <w:b/>
                <w:bCs/>
                <w:szCs w:val="24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25B92052" w14:textId="32AB1221" w:rsidR="00CE2E82" w:rsidRPr="00AA21DE" w:rsidRDefault="00CE2E82" w:rsidP="00CE2E8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AA21DE">
              <w:rPr>
                <w:szCs w:val="24"/>
                <w:lang w:val="en-US"/>
              </w:rPr>
              <w:t>Földrajz</w:t>
            </w:r>
            <w:proofErr w:type="spellEnd"/>
            <w:r w:rsidRPr="00AA21DE">
              <w:rPr>
                <w:szCs w:val="24"/>
                <w:lang w:val="en-US"/>
              </w:rPr>
              <w:t xml:space="preserve">, </w:t>
            </w:r>
            <w:proofErr w:type="spellStart"/>
            <w:r w:rsidRPr="00AA21DE">
              <w:rPr>
                <w:szCs w:val="24"/>
                <w:lang w:val="en-US"/>
              </w:rPr>
              <w:t>Irodalom</w:t>
            </w:r>
            <w:proofErr w:type="spellEnd"/>
            <w:r w:rsidRPr="00AA21DE">
              <w:rPr>
                <w:szCs w:val="24"/>
                <w:lang w:val="en-US"/>
              </w:rPr>
              <w:t xml:space="preserve">, </w:t>
            </w:r>
            <w:proofErr w:type="spellStart"/>
            <w:r w:rsidRPr="00AA21DE">
              <w:rPr>
                <w:szCs w:val="24"/>
                <w:lang w:val="en-US"/>
              </w:rPr>
              <w:t>Szociológia</w:t>
            </w:r>
            <w:proofErr w:type="spellEnd"/>
            <w:r w:rsidRPr="00AA21DE">
              <w:rPr>
                <w:szCs w:val="24"/>
                <w:lang w:val="en-US"/>
              </w:rPr>
              <w:t xml:space="preserve">, </w:t>
            </w:r>
            <w:proofErr w:type="spellStart"/>
            <w:r w:rsidRPr="00AA21DE">
              <w:rPr>
                <w:szCs w:val="24"/>
                <w:lang w:val="en-US"/>
              </w:rPr>
              <w:t>Filozófia</w:t>
            </w:r>
            <w:proofErr w:type="spellEnd"/>
            <w:r w:rsidRPr="00AA21DE">
              <w:rPr>
                <w:szCs w:val="24"/>
                <w:lang w:val="en-US"/>
              </w:rPr>
              <w:t xml:space="preserve"> </w:t>
            </w:r>
          </w:p>
        </w:tc>
      </w:tr>
      <w:tr w:rsidR="00CE2E82" w:rsidRPr="00AA21DE" w14:paraId="212F0E56" w14:textId="77777777" w:rsidTr="00206B9B">
        <w:tc>
          <w:tcPr>
            <w:tcW w:w="2835" w:type="dxa"/>
            <w:shd w:val="clear" w:color="auto" w:fill="FFE599"/>
          </w:tcPr>
          <w:p w14:paraId="53B8CB1E" w14:textId="618C34EB" w:rsidR="00CE2E82" w:rsidRPr="00AA21DE" w:rsidRDefault="00CE2E82" w:rsidP="00CE2E8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AA21DE">
              <w:rPr>
                <w:b/>
                <w:bCs/>
                <w:szCs w:val="24"/>
              </w:rPr>
              <w:t>Célja</w:t>
            </w:r>
            <w:proofErr w:type="spellEnd"/>
            <w:r w:rsidRPr="00AA21DE">
              <w:rPr>
                <w:b/>
                <w:bCs/>
                <w:szCs w:val="24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73550F0B" w14:textId="6A60D81D" w:rsidR="00CE2E82" w:rsidRPr="00AA21DE" w:rsidRDefault="00CE2E82" w:rsidP="00CE2E8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történelemtanulás életpálya-tervezésben betöltött hatásának elemzése a történelmi események ok-okozati összefüggésé</w:t>
            </w:r>
            <w:r w:rsidR="0008300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ben,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és azok mára gyakorolt ​​hatásának példákkal való magyarázatával</w:t>
            </w:r>
            <w:r w:rsidRPr="00AA21D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</w:p>
        </w:tc>
      </w:tr>
      <w:tr w:rsidR="00CE2E82" w:rsidRPr="00AA21DE" w14:paraId="6F24F7F9" w14:textId="77777777" w:rsidTr="00206B9B">
        <w:tc>
          <w:tcPr>
            <w:tcW w:w="2835" w:type="dxa"/>
            <w:shd w:val="clear" w:color="auto" w:fill="FFE599"/>
          </w:tcPr>
          <w:p w14:paraId="2545BE1A" w14:textId="05C8D06D" w:rsidR="00CE2E82" w:rsidRPr="00AA21DE" w:rsidRDefault="00CE2E82" w:rsidP="00CE2E8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AA21DE">
              <w:rPr>
                <w:b/>
                <w:bCs/>
                <w:szCs w:val="24"/>
              </w:rPr>
              <w:t>Javasolt</w:t>
            </w:r>
            <w:proofErr w:type="spellEnd"/>
            <w:r w:rsidRPr="00AA21DE">
              <w:rPr>
                <w:b/>
                <w:bCs/>
                <w:szCs w:val="24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</w:rPr>
              <w:t>diákok</w:t>
            </w:r>
            <w:proofErr w:type="spellEnd"/>
            <w:r w:rsidRPr="00AA21DE">
              <w:rPr>
                <w:b/>
                <w:bCs/>
                <w:szCs w:val="24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</w:rPr>
              <w:t>száma</w:t>
            </w:r>
            <w:proofErr w:type="spellEnd"/>
            <w:r w:rsidRPr="00AA21DE">
              <w:rPr>
                <w:b/>
                <w:bCs/>
                <w:szCs w:val="24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</w:rPr>
              <w:t>csoportonként</w:t>
            </w:r>
            <w:proofErr w:type="spellEnd"/>
            <w:r w:rsidRPr="00AA21DE">
              <w:rPr>
                <w:b/>
                <w:bCs/>
                <w:szCs w:val="24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7F9AC282" w14:textId="77777777" w:rsidR="00CE2E82" w:rsidRPr="00AA21DE" w:rsidRDefault="00CE2E82" w:rsidP="00CE2E82">
            <w:pPr>
              <w:spacing w:before="120" w:after="120"/>
              <w:rPr>
                <w:szCs w:val="24"/>
                <w:lang w:val="en-US"/>
              </w:rPr>
            </w:pPr>
            <w:r w:rsidRPr="00AA21DE">
              <w:rPr>
                <w:szCs w:val="24"/>
                <w:lang w:val="en-US"/>
              </w:rPr>
              <w:t>20</w:t>
            </w:r>
          </w:p>
        </w:tc>
      </w:tr>
      <w:tr w:rsidR="00CE2E82" w:rsidRPr="00AA21DE" w14:paraId="31B9E77B" w14:textId="77777777" w:rsidTr="00206B9B">
        <w:tc>
          <w:tcPr>
            <w:tcW w:w="2835" w:type="dxa"/>
            <w:shd w:val="clear" w:color="auto" w:fill="FFE599"/>
          </w:tcPr>
          <w:p w14:paraId="784A0A4F" w14:textId="4312DE35" w:rsidR="00CE2E82" w:rsidRPr="00AA21DE" w:rsidRDefault="00CE2E82" w:rsidP="00CE2E8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AA21DE">
              <w:rPr>
                <w:b/>
                <w:bCs/>
                <w:szCs w:val="24"/>
              </w:rPr>
              <w:t xml:space="preserve">A </w:t>
            </w:r>
            <w:proofErr w:type="spellStart"/>
            <w:r w:rsidRPr="00AA21DE">
              <w:rPr>
                <w:b/>
                <w:bCs/>
                <w:szCs w:val="24"/>
              </w:rPr>
              <w:t>fő</w:t>
            </w:r>
            <w:proofErr w:type="spellEnd"/>
            <w:r w:rsidRPr="00AA21DE">
              <w:rPr>
                <w:b/>
                <w:bCs/>
                <w:szCs w:val="24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</w:rPr>
              <w:t>tevékenység</w:t>
            </w:r>
            <w:proofErr w:type="spellEnd"/>
            <w:r w:rsidRPr="00AA21DE">
              <w:rPr>
                <w:b/>
                <w:bCs/>
                <w:szCs w:val="24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</w:rPr>
              <w:t>ideje</w:t>
            </w:r>
            <w:proofErr w:type="spellEnd"/>
            <w:r w:rsidRPr="00AA21DE">
              <w:rPr>
                <w:b/>
                <w:bCs/>
                <w:szCs w:val="24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4B7A6678" w14:textId="4D06FC6D" w:rsidR="00CE2E82" w:rsidRPr="00AA21DE" w:rsidRDefault="00CE2E82" w:rsidP="00CE2E82">
            <w:pPr>
              <w:spacing w:before="120" w:after="120"/>
              <w:rPr>
                <w:szCs w:val="24"/>
                <w:lang w:val="en-US"/>
              </w:rPr>
            </w:pPr>
            <w:r w:rsidRPr="00AA21DE">
              <w:rPr>
                <w:szCs w:val="24"/>
                <w:lang w:val="en-US"/>
              </w:rPr>
              <w:t xml:space="preserve">15’ perc + 15’ perc (2 </w:t>
            </w:r>
            <w:proofErr w:type="spellStart"/>
            <w:r w:rsidRPr="00AA21DE">
              <w:rPr>
                <w:szCs w:val="24"/>
                <w:lang w:val="en-US"/>
              </w:rPr>
              <w:t>külön</w:t>
            </w:r>
            <w:proofErr w:type="spellEnd"/>
            <w:r w:rsidRPr="00AA21DE">
              <w:rPr>
                <w:szCs w:val="24"/>
                <w:lang w:val="en-US"/>
              </w:rPr>
              <w:t xml:space="preserve"> </w:t>
            </w:r>
            <w:proofErr w:type="spellStart"/>
            <w:r w:rsidRPr="00AA21DE">
              <w:rPr>
                <w:szCs w:val="24"/>
                <w:lang w:val="en-US"/>
              </w:rPr>
              <w:t>tanóra</w:t>
            </w:r>
            <w:proofErr w:type="spellEnd"/>
            <w:r w:rsidRPr="00AA21DE">
              <w:rPr>
                <w:szCs w:val="24"/>
                <w:lang w:val="en-US"/>
              </w:rPr>
              <w:t>)</w:t>
            </w:r>
          </w:p>
        </w:tc>
      </w:tr>
      <w:tr w:rsidR="00CE2E82" w:rsidRPr="00AA21DE" w14:paraId="76E6133E" w14:textId="77777777" w:rsidTr="00206B9B">
        <w:tc>
          <w:tcPr>
            <w:tcW w:w="2835" w:type="dxa"/>
            <w:shd w:val="clear" w:color="auto" w:fill="FFE599"/>
          </w:tcPr>
          <w:p w14:paraId="43F22403" w14:textId="4308E549" w:rsidR="00CE2E82" w:rsidRPr="00AA21DE" w:rsidRDefault="00CE2E82" w:rsidP="00CE2E8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AA21DE">
              <w:rPr>
                <w:b/>
                <w:bCs/>
                <w:szCs w:val="24"/>
              </w:rPr>
              <w:t>Szükséges</w:t>
            </w:r>
            <w:proofErr w:type="spellEnd"/>
            <w:r w:rsidRPr="00AA21DE">
              <w:rPr>
                <w:b/>
                <w:bCs/>
                <w:szCs w:val="24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</w:rPr>
              <w:t>anyagok</w:t>
            </w:r>
            <w:proofErr w:type="spellEnd"/>
            <w:r w:rsidRPr="00AA21DE">
              <w:rPr>
                <w:b/>
                <w:bCs/>
                <w:szCs w:val="24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3B5C681F" w14:textId="6394CEC9" w:rsidR="00CE2E82" w:rsidRPr="00AA21DE" w:rsidRDefault="00CE2E82" w:rsidP="00CE2E8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AA21DE">
              <w:rPr>
                <w:szCs w:val="24"/>
                <w:lang w:val="en-US"/>
              </w:rPr>
              <w:t>Előadás-jegyzetek</w:t>
            </w:r>
            <w:proofErr w:type="spellEnd"/>
            <w:r w:rsidRPr="00AA21DE">
              <w:rPr>
                <w:szCs w:val="24"/>
                <w:lang w:val="en-US"/>
              </w:rPr>
              <w:t xml:space="preserve">, </w:t>
            </w:r>
            <w:proofErr w:type="spellStart"/>
            <w:r w:rsidRPr="00AA21DE">
              <w:rPr>
                <w:szCs w:val="24"/>
                <w:lang w:val="en-US"/>
              </w:rPr>
              <w:t>témához</w:t>
            </w:r>
            <w:proofErr w:type="spellEnd"/>
            <w:r w:rsidRPr="00AA21DE">
              <w:rPr>
                <w:szCs w:val="24"/>
                <w:lang w:val="en-US"/>
              </w:rPr>
              <w:t xml:space="preserve"> </w:t>
            </w:r>
            <w:proofErr w:type="spellStart"/>
            <w:r w:rsidRPr="00AA21DE">
              <w:rPr>
                <w:szCs w:val="24"/>
                <w:lang w:val="en-US"/>
              </w:rPr>
              <w:t>kapcsolódó</w:t>
            </w:r>
            <w:proofErr w:type="spellEnd"/>
            <w:r w:rsidRPr="00AA21DE">
              <w:rPr>
                <w:szCs w:val="24"/>
                <w:lang w:val="en-US"/>
              </w:rPr>
              <w:t xml:space="preserve"> </w:t>
            </w:r>
            <w:proofErr w:type="spellStart"/>
            <w:r w:rsidRPr="00AA21DE">
              <w:rPr>
                <w:szCs w:val="24"/>
                <w:lang w:val="en-US"/>
              </w:rPr>
              <w:t>könyvek</w:t>
            </w:r>
            <w:proofErr w:type="spellEnd"/>
          </w:p>
          <w:p w14:paraId="63134FB7" w14:textId="77777777" w:rsidR="00CE2E82" w:rsidRPr="00AA21DE" w:rsidRDefault="00CE2E82" w:rsidP="00CE2E82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CE2E82" w:rsidRPr="00F02E3B" w14:paraId="578E7DE5" w14:textId="77777777" w:rsidTr="00206B9B">
        <w:tc>
          <w:tcPr>
            <w:tcW w:w="2835" w:type="dxa"/>
            <w:shd w:val="clear" w:color="auto" w:fill="FFE599"/>
          </w:tcPr>
          <w:p w14:paraId="737D23B6" w14:textId="087D0D76" w:rsidR="00CE2E82" w:rsidRPr="00AA21DE" w:rsidRDefault="00CE2E82" w:rsidP="00CE2E8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AA21DE">
              <w:rPr>
                <w:b/>
                <w:bCs/>
                <w:szCs w:val="24"/>
              </w:rPr>
              <w:t>Kompetenciák</w:t>
            </w:r>
            <w:proofErr w:type="spellEnd"/>
            <w:r w:rsidRPr="00AA21DE">
              <w:rPr>
                <w:b/>
                <w:bCs/>
                <w:szCs w:val="24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42061B86" w14:textId="2D90B1E1" w:rsidR="00CE2E82" w:rsidRPr="00AA21DE" w:rsidRDefault="00CE2E82" w:rsidP="00CE2E8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a) A tanulók képesek lesznek értékelni a történelemtudomány hozzájárulását ahhoz, hogy az egyének kritikai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,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értékelési és elemzési készségeket sajátítsanak el.</w:t>
            </w:r>
          </w:p>
          <w:p w14:paraId="7F5AA996" w14:textId="1B175A09" w:rsidR="00CE2E82" w:rsidRPr="00AA21DE" w:rsidRDefault="00CE2E82" w:rsidP="00CE2E8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b) A tanulók képesek lesznek megérteni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, hogy 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karriertervezés szakaszában a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történelmi empátia hozzájárul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a fiataloki számára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a józan ész és önbizalom megszerzéséhez.</w:t>
            </w:r>
          </w:p>
          <w:p w14:paraId="5FCD06E6" w14:textId="54EC0183" w:rsidR="00CE2E82" w:rsidRPr="00AA21DE" w:rsidRDefault="00CE2E82" w:rsidP="00CE2E8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c) A tanulók képesek lesznek értékelni a pályatervezés 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kapcsolatát a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történelmi ismeretek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kel, 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politikatudomán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nyal, k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közigazgatás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sal, </w:t>
            </w: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stb.</w:t>
            </w:r>
          </w:p>
        </w:tc>
      </w:tr>
      <w:tr w:rsidR="00895E77" w:rsidRPr="00F02E3B" w14:paraId="0E198606" w14:textId="77777777" w:rsidTr="00206B9B">
        <w:tc>
          <w:tcPr>
            <w:tcW w:w="2835" w:type="dxa"/>
            <w:shd w:val="clear" w:color="auto" w:fill="FFE599"/>
          </w:tcPr>
          <w:p w14:paraId="108099F4" w14:textId="3D498ACD" w:rsidR="008A2FFF" w:rsidRPr="00AA21DE" w:rsidRDefault="00CE2E82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AA21DE">
              <w:rPr>
                <w:b/>
                <w:bCs/>
                <w:szCs w:val="24"/>
                <w:lang w:val="en-US"/>
              </w:rPr>
              <w:t>Várható</w:t>
            </w:r>
            <w:proofErr w:type="spellEnd"/>
            <w:r w:rsidRPr="00AA21D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  <w:lang w:val="en-US"/>
              </w:rPr>
              <w:t>nehézségek</w:t>
            </w:r>
            <w:proofErr w:type="spellEnd"/>
            <w:r w:rsidR="00895E77" w:rsidRPr="00AA21D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3DCE40DC" w14:textId="7D02CED6" w:rsidR="00CE2E82" w:rsidRPr="00AA21DE" w:rsidRDefault="00CE2E82" w:rsidP="00CE2E82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a- A céltudatos példamutatás széles körű történelmi ismereteket igényel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ED762" w14:textId="6FC5D62F" w:rsidR="00FD2DED" w:rsidRPr="00AA21DE" w:rsidRDefault="00CE2E82" w:rsidP="00CE2E8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b- Az érzelmi és ideológiai megközelítésű történelemoktatás megnehezíti az objektív elemzések készítését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E77" w:rsidRPr="00F02E3B" w14:paraId="326D4AE6" w14:textId="77777777" w:rsidTr="00206B9B">
        <w:tc>
          <w:tcPr>
            <w:tcW w:w="2835" w:type="dxa"/>
            <w:shd w:val="clear" w:color="auto" w:fill="FFE599"/>
          </w:tcPr>
          <w:p w14:paraId="0437493C" w14:textId="71C8DEE5" w:rsidR="00895E77" w:rsidRPr="00AA21DE" w:rsidRDefault="00CE2E82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AA21DE">
              <w:rPr>
                <w:b/>
                <w:bCs/>
                <w:szCs w:val="24"/>
                <w:lang w:val="en-US"/>
              </w:rPr>
              <w:t>További</w:t>
            </w:r>
            <w:proofErr w:type="spellEnd"/>
            <w:r w:rsidRPr="00AA21D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A21DE">
              <w:rPr>
                <w:b/>
                <w:bCs/>
                <w:szCs w:val="24"/>
                <w:lang w:val="en-US"/>
              </w:rPr>
              <w:t>tevékenységek</w:t>
            </w:r>
            <w:proofErr w:type="spellEnd"/>
            <w:r w:rsidRPr="00AA21DE">
              <w:rPr>
                <w:b/>
                <w:bCs/>
                <w:szCs w:val="24"/>
                <w:lang w:val="en-US"/>
              </w:rPr>
              <w:t xml:space="preserve"> (ha van)</w:t>
            </w:r>
          </w:p>
        </w:tc>
        <w:tc>
          <w:tcPr>
            <w:tcW w:w="11482" w:type="dxa"/>
            <w:gridSpan w:val="2"/>
            <w:shd w:val="clear" w:color="auto" w:fill="auto"/>
          </w:tcPr>
          <w:p w14:paraId="01CFE09D" w14:textId="77777777" w:rsidR="00DD21B1" w:rsidRDefault="00CE2E82" w:rsidP="00CE2E82">
            <w:pPr>
              <w:pStyle w:val="HTML-wstpniesformatowany"/>
              <w:numPr>
                <w:ilvl w:val="0"/>
                <w:numId w:val="8"/>
              </w:numPr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tanulók tájékoztatása az elért eredményekről és az előzetes kutatás kijelölése a történeti esettanulmányokról.</w:t>
            </w:r>
          </w:p>
          <w:p w14:paraId="3D6CC562" w14:textId="09F37EDD" w:rsidR="00DD21B1" w:rsidRDefault="00CE2E82" w:rsidP="00CE2E82">
            <w:pPr>
              <w:pStyle w:val="HTML-wstpniesformatowany"/>
              <w:numPr>
                <w:ilvl w:val="0"/>
                <w:numId w:val="8"/>
              </w:numPr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A köztük lévő kapcsolat elemzése a kiválasztott történelmi eseményekről 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szóló</w:t>
            </w:r>
            <w:r w:rsidRP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B9B" w:rsidRP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információ segítségéve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l.</w:t>
            </w:r>
          </w:p>
          <w:p w14:paraId="29BC2893" w14:textId="55573F5E" w:rsidR="00FD2DED" w:rsidRPr="00DD21B1" w:rsidRDefault="00CE2E82" w:rsidP="00CE2E82">
            <w:pPr>
              <w:pStyle w:val="HTML-wstpniesformatowany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példaértékű történelmi események és a</w:t>
            </w:r>
            <w:r w:rsid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z elsajátítás </w:t>
            </w:r>
            <w:r w:rsidRPr="00DD21B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kapcsolatának eredményértékelése</w:t>
            </w:r>
          </w:p>
        </w:tc>
      </w:tr>
      <w:tr w:rsidR="00CE2E82" w:rsidRPr="00AA21DE" w14:paraId="6B4A73F2" w14:textId="77777777" w:rsidTr="00DD21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shd w:val="clear" w:color="auto" w:fill="FFE599"/>
          </w:tcPr>
          <w:p w14:paraId="25DF1593" w14:textId="7DF75FB2" w:rsidR="00895E77" w:rsidRPr="00AA21DE" w:rsidRDefault="00CE2E82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AA21DE"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5103" w:type="dxa"/>
            <w:shd w:val="clear" w:color="auto" w:fill="FFE599"/>
          </w:tcPr>
          <w:p w14:paraId="7A4B6ED5" w14:textId="3952A292" w:rsidR="00895E77" w:rsidRPr="00AA21DE" w:rsidRDefault="00CE2E82" w:rsidP="00730F0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AA21DE">
              <w:rPr>
                <w:b/>
                <w:smallCaps/>
                <w:szCs w:val="24"/>
              </w:rPr>
              <w:t>Folyamat</w:t>
            </w:r>
            <w:proofErr w:type="spellEnd"/>
            <w:r w:rsidR="00895E77" w:rsidRPr="00AA21DE">
              <w:rPr>
                <w:b/>
                <w:smallCaps/>
                <w:szCs w:val="24"/>
              </w:rPr>
              <w:t xml:space="preserve">   </w:t>
            </w:r>
          </w:p>
        </w:tc>
        <w:tc>
          <w:tcPr>
            <w:tcW w:w="6379" w:type="dxa"/>
            <w:shd w:val="clear" w:color="auto" w:fill="FFE599"/>
          </w:tcPr>
          <w:p w14:paraId="3AE7D7B1" w14:textId="21FDC238" w:rsidR="00895E77" w:rsidRPr="00AA21DE" w:rsidRDefault="00CE2E82" w:rsidP="005C0365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AA21DE">
              <w:rPr>
                <w:b/>
                <w:szCs w:val="24"/>
              </w:rPr>
              <w:t>Módszer</w:t>
            </w:r>
            <w:proofErr w:type="spellEnd"/>
          </w:p>
        </w:tc>
      </w:tr>
      <w:tr w:rsidR="00206B9B" w:rsidRPr="00F02E3B" w14:paraId="305E8E7F" w14:textId="77777777" w:rsidTr="00DD21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shd w:val="clear" w:color="auto" w:fill="auto"/>
            <w:vAlign w:val="center"/>
          </w:tcPr>
          <w:p w14:paraId="224EF22B" w14:textId="61655C04" w:rsidR="00895E77" w:rsidRPr="00AA21DE" w:rsidRDefault="001B439D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AA21DE">
              <w:rPr>
                <w:b/>
                <w:smallCaps/>
                <w:szCs w:val="24"/>
                <w:lang w:val="hu-HU"/>
              </w:rPr>
              <w:t>15</w:t>
            </w:r>
            <w:r w:rsidR="00B80E86" w:rsidRPr="00AA21DE">
              <w:rPr>
                <w:b/>
                <w:smallCaps/>
                <w:szCs w:val="24"/>
                <w:lang w:val="hu-HU"/>
              </w:rPr>
              <w:t xml:space="preserve"> </w:t>
            </w:r>
            <w:r w:rsidR="001607C7" w:rsidRPr="00AA21DE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5103" w:type="dxa"/>
            <w:shd w:val="clear" w:color="auto" w:fill="auto"/>
          </w:tcPr>
          <w:p w14:paraId="49AD1AC9" w14:textId="77777777" w:rsidR="001B439D" w:rsidRPr="00AA21DE" w:rsidRDefault="00AE718E" w:rsidP="00AE718E">
            <w:pPr>
              <w:jc w:val="both"/>
              <w:rPr>
                <w:color w:val="auto"/>
                <w:szCs w:val="24"/>
                <w:lang w:val="tr-TR" w:eastAsia="en-US"/>
              </w:rPr>
            </w:pPr>
            <w:r w:rsidRPr="00AA21DE">
              <w:rPr>
                <w:color w:val="auto"/>
                <w:szCs w:val="24"/>
                <w:lang w:val="tr-TR" w:eastAsia="en-US"/>
              </w:rPr>
              <w:t xml:space="preserve">  </w:t>
            </w:r>
          </w:p>
          <w:p w14:paraId="4766AB9A" w14:textId="72E5E435" w:rsidR="00206B9B" w:rsidRPr="00AA21DE" w:rsidRDefault="00206B9B" w:rsidP="00206B9B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EZEKET A TÁJÉKOZTATÓ RÉSZEKET ONLINE DOKUMENTUMKÉNT IS A TANULÓK SZÁMÁRA IS ELÉRHETŐVÉ KELL TENNI</w:t>
            </w:r>
          </w:p>
          <w:p w14:paraId="4C59260C" w14:textId="77777777" w:rsidR="00F8446B" w:rsidRPr="00AA21DE" w:rsidRDefault="00F8446B" w:rsidP="00F8446B">
            <w:pPr>
              <w:jc w:val="both"/>
              <w:rPr>
                <w:color w:val="auto"/>
                <w:szCs w:val="24"/>
                <w:lang w:val="tr-TR" w:eastAsia="en-US"/>
              </w:rPr>
            </w:pPr>
          </w:p>
          <w:p w14:paraId="68A6D628" w14:textId="6AEF96E2" w:rsidR="00206B9B" w:rsidRPr="00AA21DE" w:rsidRDefault="00206B9B" w:rsidP="00206B9B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► Az ipari forradalom kialakulásában a földrajzi felfedezések tőkefelhalmozási hatását, a reneszánszban pedig a tudásfelhalmozási hatást ok-okozati összefüggésekkel magyarázzák.</w:t>
            </w:r>
          </w:p>
          <w:p w14:paraId="254321E7" w14:textId="77777777" w:rsidR="00751BFB" w:rsidRPr="00AA21DE" w:rsidRDefault="00751BFB" w:rsidP="00751BFB">
            <w:pPr>
              <w:jc w:val="both"/>
              <w:rPr>
                <w:color w:val="auto"/>
                <w:szCs w:val="24"/>
                <w:lang w:val="tr-TR" w:eastAsia="en-US"/>
              </w:rPr>
            </w:pPr>
          </w:p>
          <w:p w14:paraId="1BD0B831" w14:textId="466F7CFA" w:rsidR="003D498C" w:rsidRPr="00AA21DE" w:rsidRDefault="00751BFB" w:rsidP="00FA5DF8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</w:pPr>
            <w:r w:rsidRPr="00AA21DE"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  <w:t xml:space="preserve">► </w:t>
            </w:r>
            <w:r w:rsidR="00206B9B"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Az ipari forradalom végén megnőtt a piac és a nyersanyagok iránti igény, a gyarmatosítás új dimenziót kapott. Az ipari termelés nélküli országok gyarmatokká hullottak. A piacok és nyersanyagok keresése államközi versenyhez, ez a verseny elakadásokhoz vezetett, majd végül világháborúkat okozott.</w:t>
            </w:r>
            <w:r w:rsidR="00AE718E" w:rsidRPr="00AA21DE">
              <w:rPr>
                <w:rFonts w:ascii="Times New Roman" w:hAnsi="Times New Roman" w:cs="Times New Roman"/>
                <w:sz w:val="24"/>
                <w:szCs w:val="24"/>
                <w:lang w:val="tr-TR" w:eastAsia="en-US"/>
              </w:rPr>
              <w:t xml:space="preserve">    </w:t>
            </w:r>
          </w:p>
        </w:tc>
        <w:tc>
          <w:tcPr>
            <w:tcW w:w="6379" w:type="dxa"/>
            <w:shd w:val="clear" w:color="auto" w:fill="auto"/>
          </w:tcPr>
          <w:p w14:paraId="313702BF" w14:textId="77777777" w:rsidR="00BF3AB5" w:rsidRPr="00AA21DE" w:rsidRDefault="00BF3AB5" w:rsidP="00BF3AB5">
            <w:pPr>
              <w:rPr>
                <w:rFonts w:eastAsia="Calibri"/>
                <w:color w:val="auto"/>
                <w:szCs w:val="24"/>
                <w:lang w:val="tr-TR" w:eastAsia="en-US"/>
              </w:rPr>
            </w:pPr>
          </w:p>
          <w:p w14:paraId="26713626" w14:textId="77777777" w:rsidR="005D2198" w:rsidRPr="00F02E3B" w:rsidRDefault="00AE718E" w:rsidP="00AE718E">
            <w:pPr>
              <w:jc w:val="both"/>
              <w:rPr>
                <w:szCs w:val="24"/>
                <w:lang w:val="hu-HU"/>
              </w:rPr>
            </w:pPr>
            <w:r w:rsidRPr="00F02E3B">
              <w:rPr>
                <w:szCs w:val="24"/>
                <w:lang w:val="hu-HU"/>
              </w:rPr>
              <w:t xml:space="preserve"> </w:t>
            </w:r>
          </w:p>
          <w:p w14:paraId="7D2B7DD1" w14:textId="3AC37E73" w:rsidR="00751BFB" w:rsidRPr="00F02E3B" w:rsidRDefault="00751BFB" w:rsidP="00751BFB">
            <w:pPr>
              <w:spacing w:line="360" w:lineRule="auto"/>
              <w:jc w:val="both"/>
              <w:rPr>
                <w:color w:val="auto"/>
                <w:szCs w:val="24"/>
                <w:lang w:val="hu-HU"/>
              </w:rPr>
            </w:pPr>
            <w:r w:rsidRPr="00F02E3B">
              <w:rPr>
                <w:color w:val="auto"/>
                <w:szCs w:val="24"/>
                <w:lang w:val="hu-HU"/>
              </w:rPr>
              <w:t xml:space="preserve">* </w:t>
            </w:r>
            <w:r w:rsidR="00206B9B" w:rsidRPr="00F02E3B">
              <w:rPr>
                <w:color w:val="auto"/>
                <w:szCs w:val="24"/>
                <w:lang w:val="hu-HU"/>
              </w:rPr>
              <w:t>Előadás, kérdés-felelet, áttekintés, csoportmunka, egyéni munka</w:t>
            </w:r>
            <w:r w:rsidRPr="00F02E3B">
              <w:rPr>
                <w:color w:val="auto"/>
                <w:szCs w:val="24"/>
                <w:lang w:val="hu-HU"/>
              </w:rPr>
              <w:t xml:space="preserve">, </w:t>
            </w:r>
            <w:r w:rsidR="00206B9B" w:rsidRPr="00F02E3B">
              <w:rPr>
                <w:color w:val="auto"/>
                <w:szCs w:val="24"/>
                <w:lang w:val="hu-HU"/>
              </w:rPr>
              <w:t>ismétlés, vizsgálat</w:t>
            </w:r>
          </w:p>
          <w:p w14:paraId="0886ABC6" w14:textId="77777777" w:rsidR="00751BFB" w:rsidRPr="00F02E3B" w:rsidRDefault="00751BFB" w:rsidP="00751BFB">
            <w:pPr>
              <w:spacing w:line="360" w:lineRule="auto"/>
              <w:jc w:val="both"/>
              <w:rPr>
                <w:color w:val="auto"/>
                <w:szCs w:val="24"/>
                <w:lang w:val="hu-HU"/>
              </w:rPr>
            </w:pPr>
          </w:p>
          <w:p w14:paraId="2F61552B" w14:textId="77777777" w:rsidR="00206B9B" w:rsidRPr="00AA21DE" w:rsidRDefault="00206B9B" w:rsidP="00206B9B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1-A történelmi események közötti ok-okozati összefüggéseket számos példa magyarázza.</w:t>
            </w:r>
          </w:p>
          <w:p w14:paraId="440D1768" w14:textId="00CB1E95" w:rsidR="00206B9B" w:rsidRPr="00AA21DE" w:rsidRDefault="00206B9B" w:rsidP="00206B9B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2- Az eseményekről való tájékoztatás során ügyelni kell arra, hogy a tanulók kapcsolatot alakítsanak ki kérdés-felelet-, valamint vitamódszerrel.</w:t>
            </w:r>
          </w:p>
          <w:p w14:paraId="4547C0E1" w14:textId="77777777" w:rsidR="00206B9B" w:rsidRPr="00AA21DE" w:rsidRDefault="00206B9B" w:rsidP="00206B9B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3- A történelmi események elemzésének hozzájárulása a kritikai értékelési és elemzési készségek megszerzéséhez csoportmunkával kerül megvitatásra.</w:t>
            </w:r>
          </w:p>
          <w:p w14:paraId="6CBF583E" w14:textId="77777777" w:rsidR="00206B9B" w:rsidRPr="00AA21DE" w:rsidRDefault="00206B9B" w:rsidP="00206B9B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4. Beszélje meg a múlt és a jövő közötti kapcsolat tudatosítását.</w:t>
            </w:r>
          </w:p>
          <w:p w14:paraId="22F872F3" w14:textId="63F7AAD3" w:rsidR="005D2198" w:rsidRPr="00F02E3B" w:rsidRDefault="005D2198" w:rsidP="00751BFB">
            <w:pPr>
              <w:spacing w:line="360" w:lineRule="auto"/>
              <w:jc w:val="both"/>
              <w:rPr>
                <w:color w:val="auto"/>
                <w:szCs w:val="24"/>
                <w:lang w:val="hu-HU"/>
              </w:rPr>
            </w:pPr>
          </w:p>
        </w:tc>
      </w:tr>
      <w:tr w:rsidR="00206B9B" w:rsidRPr="00F02E3B" w14:paraId="627D919B" w14:textId="77777777" w:rsidTr="00DD21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7D26" w14:textId="7D3E0A76" w:rsidR="005A20C3" w:rsidRPr="00AA21DE" w:rsidRDefault="001607C7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AA21DE">
              <w:rPr>
                <w:b/>
                <w:smallCaps/>
                <w:szCs w:val="24"/>
              </w:rPr>
              <w:t>15’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DA91" w14:textId="77777777" w:rsidR="001B439D" w:rsidRPr="00AA21DE" w:rsidRDefault="001B439D" w:rsidP="00301FEA">
            <w:pPr>
              <w:spacing w:line="276" w:lineRule="auto"/>
              <w:jc w:val="both"/>
              <w:rPr>
                <w:b/>
                <w:color w:val="auto"/>
                <w:szCs w:val="24"/>
                <w:lang w:val="tr-TR" w:eastAsia="en-US"/>
              </w:rPr>
            </w:pPr>
          </w:p>
          <w:p w14:paraId="203B95A2" w14:textId="6D16E7B1" w:rsidR="00D000D5" w:rsidRPr="00AA21DE" w:rsidRDefault="001607C7" w:rsidP="00CE2E8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AA21D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► </w:t>
            </w:r>
            <w:r w:rsidR="00CE2E82" w:rsidRPr="00AA21DE">
              <w:rPr>
                <w:rFonts w:ascii="Times New Roman" w:hAnsi="Times New Roman" w:cs="Times New Roman"/>
                <w:sz w:val="24"/>
                <w:szCs w:val="24"/>
              </w:rPr>
              <w:t>A gépesítés eredményeként kialakult a munkásosztály. A lakosság gyors beáramlása falvakból városokba indult. Az új gazdasági rendszer és az általa hozott társadalmi rend olyan tanok kialakulásához vezetett, mint a kapitalizmus, a liberalizmus, a szocializmus és a marxizmus.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2E10" w14:textId="77777777" w:rsidR="00D54FD9" w:rsidRPr="00AA21DE" w:rsidRDefault="00D54FD9" w:rsidP="00AE718E">
            <w:pPr>
              <w:rPr>
                <w:rFonts w:eastAsia="Calibri"/>
                <w:color w:val="auto"/>
                <w:szCs w:val="24"/>
                <w:lang w:val="tr-TR" w:eastAsia="en-US"/>
              </w:rPr>
            </w:pPr>
          </w:p>
          <w:p w14:paraId="6E3BD6DA" w14:textId="77777777" w:rsidR="00D54FD9" w:rsidRPr="00AA21DE" w:rsidRDefault="00D54FD9" w:rsidP="00AE718E">
            <w:pPr>
              <w:rPr>
                <w:rFonts w:eastAsia="Calibri"/>
                <w:color w:val="auto"/>
                <w:szCs w:val="24"/>
                <w:lang w:val="tr-TR" w:eastAsia="en-US"/>
              </w:rPr>
            </w:pPr>
          </w:p>
          <w:p w14:paraId="08AE6E7F" w14:textId="77777777" w:rsidR="00D54FD9" w:rsidRPr="00AA21DE" w:rsidRDefault="00D54FD9" w:rsidP="00AE718E">
            <w:pPr>
              <w:rPr>
                <w:rFonts w:eastAsia="Calibri"/>
                <w:color w:val="auto"/>
                <w:szCs w:val="24"/>
                <w:lang w:val="tr-TR" w:eastAsia="en-US"/>
              </w:rPr>
            </w:pPr>
          </w:p>
          <w:p w14:paraId="4EDBD4BF" w14:textId="22FDF0D5" w:rsidR="009B1C45" w:rsidRPr="00F02E3B" w:rsidRDefault="009B1C45" w:rsidP="005F1725">
            <w:pPr>
              <w:spacing w:line="276" w:lineRule="auto"/>
              <w:jc w:val="both"/>
              <w:rPr>
                <w:b/>
                <w:szCs w:val="24"/>
                <w:lang w:val="hu-HU"/>
              </w:rPr>
            </w:pPr>
          </w:p>
        </w:tc>
      </w:tr>
    </w:tbl>
    <w:p w14:paraId="0647C892" w14:textId="77777777" w:rsidR="009B1C45" w:rsidRPr="00F02E3B" w:rsidRDefault="009B1C45">
      <w:pPr>
        <w:rPr>
          <w:szCs w:val="24"/>
          <w:lang w:val="hu-HU"/>
        </w:rPr>
      </w:pPr>
    </w:p>
    <w:sectPr w:rsidR="009B1C45" w:rsidRPr="00F02E3B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437D3" w14:textId="77777777" w:rsidR="00D7089A" w:rsidRDefault="00D7089A" w:rsidP="00895E77">
      <w:r>
        <w:separator/>
      </w:r>
    </w:p>
  </w:endnote>
  <w:endnote w:type="continuationSeparator" w:id="0">
    <w:p w14:paraId="62444E29" w14:textId="77777777" w:rsidR="00D7089A" w:rsidRDefault="00D7089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C2DFF" w14:textId="77777777" w:rsidR="00F02E3B" w:rsidRDefault="00F02E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E6A73" w14:textId="4A5D0BC1" w:rsidR="00F02E3B" w:rsidRDefault="00F02E3B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98CC11" wp14:editId="3EC47BB8">
              <wp:simplePos x="0" y="0"/>
              <wp:positionH relativeFrom="column">
                <wp:posOffset>-224790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38441" w14:textId="77777777" w:rsidR="00F02E3B" w:rsidRPr="00665D1C" w:rsidRDefault="00F02E3B" w:rsidP="00F02E3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CE582" w14:textId="77777777" w:rsidR="00F02E3B" w:rsidRPr="005B584A" w:rsidRDefault="00F02E3B" w:rsidP="00F02E3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48D89D1" w14:textId="77777777" w:rsidR="00F02E3B" w:rsidRDefault="00F02E3B" w:rsidP="00F02E3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7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RUKF3iAAAACwEAAA8AAABkcnMvZG93bnJl&#10;di54bWxMj8FOwkAQhu8mvsNmTLzBdgUq1G4JIeqJmAgmxtvQDm1Dd7bpLm15e5eT3mYyX/75/nQ9&#10;mkb01LnasgY1jUAQ57aoudTwdXibLEE4j1xgY5k0XMnBOru/SzEp7MCf1O99KUIIuwQ1VN63iZQu&#10;r8igm9qWONxOtjPow9qVsuhwCOGmkU9RFEuDNYcPFba0rSg/7y9Gw/uAw2amXvvd+bS9/hwWH987&#10;RVo/PoybFxCeRv8Hw00/qEMWnI72woUTjYbJbDEPaBiUUiBuxDxexSCOGp6XK5BZKv93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RUKF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8438441" w14:textId="77777777" w:rsidR="00F02E3B" w:rsidRPr="00665D1C" w:rsidRDefault="00F02E3B" w:rsidP="00F02E3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9CCE582" w14:textId="77777777" w:rsidR="00F02E3B" w:rsidRPr="005B584A" w:rsidRDefault="00F02E3B" w:rsidP="00F02E3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48D89D1" w14:textId="77777777" w:rsidR="00F02E3B" w:rsidRDefault="00F02E3B" w:rsidP="00F02E3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06263" w14:textId="77777777" w:rsidR="00F02E3B" w:rsidRDefault="00F02E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7C62F" w14:textId="77777777" w:rsidR="00D7089A" w:rsidRDefault="00D7089A" w:rsidP="00895E77">
      <w:r>
        <w:separator/>
      </w:r>
    </w:p>
  </w:footnote>
  <w:footnote w:type="continuationSeparator" w:id="0">
    <w:p w14:paraId="32880B67" w14:textId="77777777" w:rsidR="00D7089A" w:rsidRDefault="00D7089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938A8" w14:textId="77777777" w:rsidR="00F02E3B" w:rsidRDefault="00F02E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1E32E326" w14:textId="77777777" w:rsidTr="005C0365">
      <w:tc>
        <w:tcPr>
          <w:tcW w:w="4714" w:type="dxa"/>
          <w:shd w:val="clear" w:color="auto" w:fill="FFE599"/>
          <w:vAlign w:val="center"/>
        </w:tcPr>
        <w:p w14:paraId="5A44977F" w14:textId="77777777" w:rsidR="00895E77" w:rsidRPr="00BB0A64" w:rsidRDefault="0045580A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14:paraId="1474D867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62515530" wp14:editId="653E0DD8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619EA528" w14:textId="77777777" w:rsidR="00895E77" w:rsidRPr="00BB0A64" w:rsidRDefault="0045580A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PRACTICAL APPROACH</w:t>
          </w:r>
        </w:p>
      </w:tc>
    </w:tr>
  </w:tbl>
  <w:p w14:paraId="2140E6B3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C56DB" w14:textId="77777777" w:rsidR="00F02E3B" w:rsidRDefault="00F02E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F0609C7"/>
    <w:multiLevelType w:val="hybridMultilevel"/>
    <w:tmpl w:val="B2F26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6608E"/>
    <w:multiLevelType w:val="hybridMultilevel"/>
    <w:tmpl w:val="CB2E54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90739"/>
    <w:multiLevelType w:val="hybridMultilevel"/>
    <w:tmpl w:val="21EE02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26A4F"/>
    <w:rsid w:val="00040C1A"/>
    <w:rsid w:val="000456E1"/>
    <w:rsid w:val="00050933"/>
    <w:rsid w:val="00075A3E"/>
    <w:rsid w:val="00083001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07C7"/>
    <w:rsid w:val="00164891"/>
    <w:rsid w:val="00166091"/>
    <w:rsid w:val="00173297"/>
    <w:rsid w:val="001A56AD"/>
    <w:rsid w:val="001B439D"/>
    <w:rsid w:val="001B445D"/>
    <w:rsid w:val="001C4B70"/>
    <w:rsid w:val="001D0876"/>
    <w:rsid w:val="001D33E0"/>
    <w:rsid w:val="001F372E"/>
    <w:rsid w:val="00206B9B"/>
    <w:rsid w:val="00210CA0"/>
    <w:rsid w:val="00217C34"/>
    <w:rsid w:val="00223C4E"/>
    <w:rsid w:val="00224BE6"/>
    <w:rsid w:val="00247FC9"/>
    <w:rsid w:val="0025256B"/>
    <w:rsid w:val="00254F1B"/>
    <w:rsid w:val="00271D39"/>
    <w:rsid w:val="00272D2A"/>
    <w:rsid w:val="00281DA6"/>
    <w:rsid w:val="002B66CC"/>
    <w:rsid w:val="002C6FF2"/>
    <w:rsid w:val="002E5FC1"/>
    <w:rsid w:val="002F258F"/>
    <w:rsid w:val="002F3A5A"/>
    <w:rsid w:val="00301FEA"/>
    <w:rsid w:val="00304CDD"/>
    <w:rsid w:val="00317E8C"/>
    <w:rsid w:val="0032206B"/>
    <w:rsid w:val="003329F4"/>
    <w:rsid w:val="00333083"/>
    <w:rsid w:val="00343A84"/>
    <w:rsid w:val="00361ACE"/>
    <w:rsid w:val="003669BF"/>
    <w:rsid w:val="00387910"/>
    <w:rsid w:val="003A7BFF"/>
    <w:rsid w:val="003D0527"/>
    <w:rsid w:val="003D15D2"/>
    <w:rsid w:val="003D498C"/>
    <w:rsid w:val="003E487A"/>
    <w:rsid w:val="003F62BB"/>
    <w:rsid w:val="00414FD6"/>
    <w:rsid w:val="00426C8E"/>
    <w:rsid w:val="0045580A"/>
    <w:rsid w:val="00460CA4"/>
    <w:rsid w:val="00496775"/>
    <w:rsid w:val="004A0086"/>
    <w:rsid w:val="004A7206"/>
    <w:rsid w:val="004D2329"/>
    <w:rsid w:val="004E2ED1"/>
    <w:rsid w:val="004F1D5A"/>
    <w:rsid w:val="004F4AE3"/>
    <w:rsid w:val="00542A74"/>
    <w:rsid w:val="005443E7"/>
    <w:rsid w:val="00547E4F"/>
    <w:rsid w:val="00554F93"/>
    <w:rsid w:val="00557640"/>
    <w:rsid w:val="00584F11"/>
    <w:rsid w:val="00595696"/>
    <w:rsid w:val="005A20C3"/>
    <w:rsid w:val="005A6941"/>
    <w:rsid w:val="005C448D"/>
    <w:rsid w:val="005D2198"/>
    <w:rsid w:val="005F1725"/>
    <w:rsid w:val="00606462"/>
    <w:rsid w:val="006104BD"/>
    <w:rsid w:val="00611CB0"/>
    <w:rsid w:val="00654440"/>
    <w:rsid w:val="00686DB5"/>
    <w:rsid w:val="006B5C03"/>
    <w:rsid w:val="006D4DD3"/>
    <w:rsid w:val="006E1A88"/>
    <w:rsid w:val="006F771D"/>
    <w:rsid w:val="0070601F"/>
    <w:rsid w:val="0071059B"/>
    <w:rsid w:val="00717FAB"/>
    <w:rsid w:val="00730F0B"/>
    <w:rsid w:val="00741C18"/>
    <w:rsid w:val="00745E10"/>
    <w:rsid w:val="00751BFB"/>
    <w:rsid w:val="0078080B"/>
    <w:rsid w:val="00791269"/>
    <w:rsid w:val="0079292A"/>
    <w:rsid w:val="007A3D43"/>
    <w:rsid w:val="00814CB4"/>
    <w:rsid w:val="00816734"/>
    <w:rsid w:val="00823545"/>
    <w:rsid w:val="00823CDD"/>
    <w:rsid w:val="008512E1"/>
    <w:rsid w:val="00874434"/>
    <w:rsid w:val="008875A8"/>
    <w:rsid w:val="00895E77"/>
    <w:rsid w:val="008A2FFF"/>
    <w:rsid w:val="008A7DA1"/>
    <w:rsid w:val="008C3A07"/>
    <w:rsid w:val="008D133F"/>
    <w:rsid w:val="008E354F"/>
    <w:rsid w:val="009008FA"/>
    <w:rsid w:val="0090149C"/>
    <w:rsid w:val="009539E6"/>
    <w:rsid w:val="009A405D"/>
    <w:rsid w:val="009B1C45"/>
    <w:rsid w:val="009D3288"/>
    <w:rsid w:val="009E5C76"/>
    <w:rsid w:val="009F5937"/>
    <w:rsid w:val="00A25956"/>
    <w:rsid w:val="00A310EB"/>
    <w:rsid w:val="00A90269"/>
    <w:rsid w:val="00A96434"/>
    <w:rsid w:val="00AA1C8D"/>
    <w:rsid w:val="00AA21DE"/>
    <w:rsid w:val="00AD7B25"/>
    <w:rsid w:val="00AE1090"/>
    <w:rsid w:val="00AE718E"/>
    <w:rsid w:val="00AF5D2C"/>
    <w:rsid w:val="00B25E3E"/>
    <w:rsid w:val="00B552C5"/>
    <w:rsid w:val="00B56D32"/>
    <w:rsid w:val="00B80E86"/>
    <w:rsid w:val="00B91593"/>
    <w:rsid w:val="00B97314"/>
    <w:rsid w:val="00BB044C"/>
    <w:rsid w:val="00BC48D3"/>
    <w:rsid w:val="00BF3AB5"/>
    <w:rsid w:val="00C0509F"/>
    <w:rsid w:val="00C13A72"/>
    <w:rsid w:val="00C23264"/>
    <w:rsid w:val="00C46726"/>
    <w:rsid w:val="00C53DAD"/>
    <w:rsid w:val="00C57BBD"/>
    <w:rsid w:val="00C641DA"/>
    <w:rsid w:val="00CA69DC"/>
    <w:rsid w:val="00CD588D"/>
    <w:rsid w:val="00CE2E82"/>
    <w:rsid w:val="00CE4350"/>
    <w:rsid w:val="00CF6CC0"/>
    <w:rsid w:val="00CF7E67"/>
    <w:rsid w:val="00D000D5"/>
    <w:rsid w:val="00D01BA2"/>
    <w:rsid w:val="00D03035"/>
    <w:rsid w:val="00D05C3A"/>
    <w:rsid w:val="00D308DB"/>
    <w:rsid w:val="00D4547A"/>
    <w:rsid w:val="00D54FD9"/>
    <w:rsid w:val="00D5755C"/>
    <w:rsid w:val="00D7089A"/>
    <w:rsid w:val="00D808CB"/>
    <w:rsid w:val="00D82D16"/>
    <w:rsid w:val="00DA0A93"/>
    <w:rsid w:val="00DD21B1"/>
    <w:rsid w:val="00DF3F01"/>
    <w:rsid w:val="00E05E6F"/>
    <w:rsid w:val="00E141C9"/>
    <w:rsid w:val="00E30B78"/>
    <w:rsid w:val="00E41181"/>
    <w:rsid w:val="00E4516D"/>
    <w:rsid w:val="00E5450C"/>
    <w:rsid w:val="00E55B84"/>
    <w:rsid w:val="00E5720F"/>
    <w:rsid w:val="00E94124"/>
    <w:rsid w:val="00ED3E53"/>
    <w:rsid w:val="00EE3A21"/>
    <w:rsid w:val="00EF49AD"/>
    <w:rsid w:val="00F02E3B"/>
    <w:rsid w:val="00F05BD7"/>
    <w:rsid w:val="00F56CEA"/>
    <w:rsid w:val="00F6664C"/>
    <w:rsid w:val="00F8446B"/>
    <w:rsid w:val="00FA5DF8"/>
    <w:rsid w:val="00FB16D6"/>
    <w:rsid w:val="00FD2DED"/>
    <w:rsid w:val="00FD6907"/>
    <w:rsid w:val="00FE4B05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C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5443E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E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E2E82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CE2E82"/>
  </w:style>
  <w:style w:type="character" w:styleId="Hipercze">
    <w:name w:val="Hyperlink"/>
    <w:basedOn w:val="Domylnaczcionkaakapitu"/>
    <w:uiPriority w:val="99"/>
    <w:unhideWhenUsed/>
    <w:rsid w:val="00F02E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5443E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E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E2E82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CE2E82"/>
  </w:style>
  <w:style w:type="character" w:styleId="Hipercze">
    <w:name w:val="Hyperlink"/>
    <w:basedOn w:val="Domylnaczcionkaakapitu"/>
    <w:uiPriority w:val="99"/>
    <w:unhideWhenUsed/>
    <w:rsid w:val="00F02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2023-06-04T14:25:00Z</dcterms:created>
  <dcterms:modified xsi:type="dcterms:W3CDTF">2023-10-04T13:10:00Z</dcterms:modified>
</cp:coreProperties>
</file>