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618964AF" w:rsidR="00895E77" w:rsidRPr="00562902" w:rsidRDefault="00622032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 w:rsidRPr="00562902">
        <w:rPr>
          <w:b/>
          <w:lang w:val="en-US"/>
        </w:rPr>
        <w:t>Óravázlat</w:t>
      </w:r>
      <w:proofErr w:type="spellEnd"/>
    </w:p>
    <w:p w14:paraId="2FEE2786" w14:textId="2478EAC8" w:rsidR="00895E77" w:rsidRDefault="00895E77" w:rsidP="00023ACA">
      <w:pPr>
        <w:jc w:val="center"/>
        <w:outlineLvl w:val="0"/>
        <w:rPr>
          <w:b/>
          <w:sz w:val="36"/>
          <w:lang w:val="en-US"/>
        </w:rPr>
      </w:pPr>
    </w:p>
    <w:tbl>
      <w:tblPr>
        <w:tblW w:w="13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9443"/>
      </w:tblGrid>
      <w:tr w:rsidR="00B641DC" w:rsidRPr="00562902" w14:paraId="69124CE4" w14:textId="77777777" w:rsidTr="00035831">
        <w:trPr>
          <w:trHeight w:val="200"/>
        </w:trPr>
        <w:tc>
          <w:tcPr>
            <w:tcW w:w="13475" w:type="dxa"/>
            <w:gridSpan w:val="2"/>
            <w:shd w:val="clear" w:color="auto" w:fill="FFE599"/>
          </w:tcPr>
          <w:p w14:paraId="4F898078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  <w:sz w:val="28"/>
                <w:lang w:val="pl-PL" w:eastAsia="pl-PL"/>
              </w:rPr>
            </w:pPr>
            <w:proofErr w:type="spellStart"/>
            <w:r w:rsidRPr="00562902">
              <w:rPr>
                <w:b/>
                <w:color w:val="auto"/>
                <w:sz w:val="28"/>
                <w:lang w:val="en" w:eastAsia="pl-PL"/>
              </w:rPr>
              <w:t>Erkölcs</w:t>
            </w:r>
            <w:proofErr w:type="spellEnd"/>
            <w:r w:rsidRPr="00562902">
              <w:rPr>
                <w:b/>
                <w:color w:val="auto"/>
                <w:sz w:val="28"/>
                <w:lang w:val="en" w:eastAsia="pl-PL"/>
              </w:rPr>
              <w:t xml:space="preserve"> a </w:t>
            </w:r>
            <w:proofErr w:type="spellStart"/>
            <w:r w:rsidRPr="00562902">
              <w:rPr>
                <w:b/>
                <w:color w:val="auto"/>
                <w:sz w:val="28"/>
                <w:lang w:val="en" w:eastAsia="pl-PL"/>
              </w:rPr>
              <w:t>munkában</w:t>
            </w:r>
            <w:proofErr w:type="spellEnd"/>
          </w:p>
        </w:tc>
      </w:tr>
      <w:tr w:rsidR="00B641DC" w:rsidRPr="00562902" w14:paraId="5CC8E7BA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7E1CA3BC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r w:rsidRPr="00562902">
              <w:rPr>
                <w:b/>
                <w:bCs/>
              </w:rPr>
              <w:t xml:space="preserve">A </w:t>
            </w:r>
            <w:proofErr w:type="spellStart"/>
            <w:r w:rsidRPr="00562902">
              <w:rPr>
                <w:b/>
                <w:bCs/>
              </w:rPr>
              <w:t>diákok</w:t>
            </w:r>
            <w:proofErr w:type="spellEnd"/>
            <w:r w:rsidRPr="00562902">
              <w:rPr>
                <w:b/>
                <w:bCs/>
              </w:rPr>
              <w:t xml:space="preserve"> </w:t>
            </w:r>
            <w:proofErr w:type="spellStart"/>
            <w:r w:rsidRPr="00562902">
              <w:rPr>
                <w:b/>
                <w:bCs/>
              </w:rPr>
              <w:t>szintje</w:t>
            </w:r>
            <w:proofErr w:type="spellEnd"/>
            <w:r w:rsidRPr="00562902">
              <w:rPr>
                <w:b/>
                <w:bCs/>
              </w:rPr>
              <w:t xml:space="preserve">, </w:t>
            </w:r>
            <w:proofErr w:type="spellStart"/>
            <w:r w:rsidRPr="00562902">
              <w:rPr>
                <w:b/>
                <w:bCs/>
              </w:rPr>
              <w:t>életkora</w:t>
            </w:r>
            <w:proofErr w:type="spellEnd"/>
            <w:r w:rsidRPr="00562902">
              <w:t>:</w:t>
            </w:r>
          </w:p>
        </w:tc>
        <w:tc>
          <w:tcPr>
            <w:tcW w:w="9443" w:type="dxa"/>
            <w:shd w:val="clear" w:color="auto" w:fill="auto"/>
          </w:tcPr>
          <w:p w14:paraId="2BC26C7E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r w:rsidRPr="00562902">
              <w:rPr>
                <w:szCs w:val="24"/>
                <w:lang w:val="en-US"/>
              </w:rPr>
              <w:t xml:space="preserve"> 14-17</w:t>
            </w:r>
          </w:p>
        </w:tc>
      </w:tr>
      <w:tr w:rsidR="00B641DC" w:rsidRPr="00562902" w14:paraId="5EC14EAE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226EAF20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Tantárgy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0B412F54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62902">
              <w:rPr>
                <w:szCs w:val="24"/>
                <w:lang w:val="en-US"/>
              </w:rPr>
              <w:t>Teológia</w:t>
            </w:r>
            <w:proofErr w:type="spellEnd"/>
            <w:r>
              <w:rPr>
                <w:szCs w:val="24"/>
                <w:lang w:val="en-US"/>
              </w:rPr>
              <w:t>/</w:t>
            </w:r>
            <w:proofErr w:type="spellStart"/>
            <w:r>
              <w:rPr>
                <w:szCs w:val="24"/>
                <w:lang w:val="en-US"/>
              </w:rPr>
              <w:t>Hittan</w:t>
            </w:r>
            <w:proofErr w:type="spellEnd"/>
          </w:p>
        </w:tc>
      </w:tr>
      <w:tr w:rsidR="00B641DC" w:rsidRPr="00562902" w14:paraId="5804A5D5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38F446A6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Érintett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területek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0E471531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62902">
              <w:rPr>
                <w:szCs w:val="24"/>
                <w:lang w:val="en-US"/>
              </w:rPr>
              <w:t>Filozófia</w:t>
            </w:r>
            <w:proofErr w:type="spellEnd"/>
            <w:r w:rsidRPr="00562902">
              <w:rPr>
                <w:szCs w:val="24"/>
                <w:lang w:val="en-US"/>
              </w:rPr>
              <w:t xml:space="preserve">, </w:t>
            </w:r>
            <w:proofErr w:type="spellStart"/>
            <w:r w:rsidRPr="00562902">
              <w:rPr>
                <w:szCs w:val="24"/>
                <w:lang w:val="en-US"/>
              </w:rPr>
              <w:t>Tanácsadás</w:t>
            </w:r>
            <w:proofErr w:type="spellEnd"/>
          </w:p>
        </w:tc>
      </w:tr>
      <w:tr w:rsidR="00B641DC" w:rsidRPr="005E59B2" w14:paraId="4C2EDDD7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455ABC96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Célja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4501A906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>Meggyőző módon elmagyarázni az elvont természetű – ezért különösen korai életkorban nehezen érthető – vallási és erkölcsi szabályoknak megfelelő társadalmi tényezőket.</w:t>
            </w:r>
          </w:p>
          <w:p w14:paraId="6BBE1F8C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 xml:space="preserve">Felhívni a figyelmet arra, hogy a társadalmi élet legfontosabb </w:t>
            </w:r>
            <w:r>
              <w:rPr>
                <w:color w:val="auto"/>
                <w:szCs w:val="24"/>
                <w:lang w:val="hu-HU"/>
              </w:rPr>
              <w:t>t</w:t>
            </w:r>
            <w:r>
              <w:rPr>
                <w:color w:val="auto"/>
                <w:lang w:val="hu-HU"/>
              </w:rPr>
              <w:t xml:space="preserve">ényezői </w:t>
            </w:r>
            <w:r w:rsidRPr="00562902">
              <w:rPr>
                <w:color w:val="auto"/>
                <w:szCs w:val="24"/>
                <w:lang w:val="hu-HU"/>
              </w:rPr>
              <w:t>az</w:t>
            </w:r>
            <w:r>
              <w:rPr>
                <w:color w:val="auto"/>
                <w:szCs w:val="24"/>
                <w:lang w:val="hu-HU"/>
              </w:rPr>
              <w:t xml:space="preserve"> </w:t>
            </w:r>
            <w:r>
              <w:rPr>
                <w:color w:val="auto"/>
                <w:lang w:val="hu-HU"/>
              </w:rPr>
              <w:t>olyan</w:t>
            </w:r>
            <w:r w:rsidRPr="00562902">
              <w:rPr>
                <w:color w:val="auto"/>
                <w:szCs w:val="24"/>
                <w:lang w:val="hu-HU"/>
              </w:rPr>
              <w:t xml:space="preserve"> erkölcsi értékek, mint a biztonság, bizalom, őszinteség, hűség, tisztaság, mértékletesség, titkok megőrzése és tisztesség.</w:t>
            </w:r>
          </w:p>
          <w:p w14:paraId="77CD2BED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 xml:space="preserve">Megismertetni a tanulókkal azokat a lehetőségeket, amelyeket az alapvető erkölcsi értékek kínálnak számukra bármilyen szakmaválasztás </w:t>
            </w:r>
            <w:r>
              <w:rPr>
                <w:color w:val="auto"/>
                <w:szCs w:val="24"/>
                <w:lang w:val="hu-HU"/>
              </w:rPr>
              <w:t>esetén</w:t>
            </w:r>
            <w:r w:rsidRPr="00562902">
              <w:rPr>
                <w:color w:val="auto"/>
                <w:szCs w:val="24"/>
                <w:lang w:val="hu-HU"/>
              </w:rPr>
              <w:t xml:space="preserve"> karrierjük</w:t>
            </w:r>
            <w:r>
              <w:rPr>
                <w:color w:val="auto"/>
                <w:szCs w:val="24"/>
                <w:lang w:val="hu-HU"/>
              </w:rPr>
              <w:t xml:space="preserve"> </w:t>
            </w:r>
            <w:r>
              <w:rPr>
                <w:color w:val="auto"/>
                <w:lang w:val="hu-HU"/>
              </w:rPr>
              <w:t>során</w:t>
            </w:r>
            <w:r w:rsidRPr="00562902">
              <w:rPr>
                <w:color w:val="auto"/>
                <w:szCs w:val="24"/>
                <w:lang w:val="hu-HU"/>
              </w:rPr>
              <w:t>.</w:t>
            </w:r>
          </w:p>
          <w:p w14:paraId="151B1CDC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>Felhívni a figyelmet arra, hogy minden foglalkozási csoport</w:t>
            </w:r>
            <w:r>
              <w:rPr>
                <w:color w:val="auto"/>
                <w:szCs w:val="24"/>
                <w:lang w:val="hu-HU"/>
              </w:rPr>
              <w:t xml:space="preserve"> hordoz</w:t>
            </w:r>
            <w:r w:rsidRPr="00562902">
              <w:rPr>
                <w:color w:val="auto"/>
                <w:szCs w:val="24"/>
                <w:lang w:val="hu-HU"/>
              </w:rPr>
              <w:t xml:space="preserve"> az alapvető erkölcsi erényeken túl a saját tudományágához tartozó részerényeket és erkölcsi értékeket is.</w:t>
            </w:r>
          </w:p>
        </w:tc>
      </w:tr>
      <w:tr w:rsidR="00B641DC" w:rsidRPr="00562902" w14:paraId="58141207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3D016A9B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Javasolt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diákok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száma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csoportonként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7A638C8E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r w:rsidRPr="00562902">
              <w:rPr>
                <w:szCs w:val="24"/>
                <w:lang w:val="en-US"/>
              </w:rPr>
              <w:t>20-25</w:t>
            </w:r>
          </w:p>
        </w:tc>
      </w:tr>
      <w:tr w:rsidR="00B641DC" w:rsidRPr="00562902" w14:paraId="10EC5246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15048CDC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562902">
              <w:rPr>
                <w:b/>
                <w:bCs/>
                <w:szCs w:val="24"/>
              </w:rPr>
              <w:t xml:space="preserve">A </w:t>
            </w:r>
            <w:proofErr w:type="spellStart"/>
            <w:r w:rsidRPr="00562902">
              <w:rPr>
                <w:b/>
                <w:bCs/>
                <w:szCs w:val="24"/>
              </w:rPr>
              <w:t>fő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tevékenység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ideje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6A9C8021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r w:rsidRPr="00562902">
              <w:rPr>
                <w:szCs w:val="24"/>
                <w:lang w:val="en-US"/>
              </w:rPr>
              <w:t xml:space="preserve">15 perc + 15 perc (2 </w:t>
            </w:r>
            <w:proofErr w:type="spellStart"/>
            <w:r w:rsidRPr="00562902">
              <w:rPr>
                <w:szCs w:val="24"/>
                <w:lang w:val="en-US"/>
              </w:rPr>
              <w:t>külön</w:t>
            </w:r>
            <w:proofErr w:type="spellEnd"/>
            <w:r w:rsidRPr="00562902">
              <w:rPr>
                <w:szCs w:val="24"/>
                <w:lang w:val="en-US"/>
              </w:rPr>
              <w:t xml:space="preserve"> </w:t>
            </w:r>
            <w:proofErr w:type="spellStart"/>
            <w:r w:rsidRPr="00562902">
              <w:rPr>
                <w:szCs w:val="24"/>
                <w:lang w:val="en-US"/>
              </w:rPr>
              <w:t>tanóra</w:t>
            </w:r>
            <w:proofErr w:type="spellEnd"/>
            <w:r w:rsidRPr="00562902">
              <w:rPr>
                <w:szCs w:val="24"/>
                <w:lang w:val="en-US"/>
              </w:rPr>
              <w:t>)</w:t>
            </w:r>
          </w:p>
        </w:tc>
      </w:tr>
      <w:tr w:rsidR="00B641DC" w:rsidRPr="00562902" w14:paraId="5167482E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551D0A91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Szükséges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anyagok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562B2CEC" w14:textId="77777777" w:rsidR="00B641DC" w:rsidRPr="00562902" w:rsidRDefault="00B641DC" w:rsidP="0003583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62902">
              <w:rPr>
                <w:szCs w:val="24"/>
                <w:lang w:val="en-US"/>
              </w:rPr>
              <w:t>Okostábla</w:t>
            </w:r>
            <w:proofErr w:type="spellEnd"/>
            <w:r w:rsidRPr="00562902">
              <w:rPr>
                <w:szCs w:val="24"/>
                <w:lang w:val="en-US"/>
              </w:rPr>
              <w:t xml:space="preserve">, video, </w:t>
            </w:r>
            <w:proofErr w:type="spellStart"/>
            <w:r w:rsidRPr="00562902">
              <w:rPr>
                <w:szCs w:val="24"/>
                <w:lang w:val="en-US"/>
              </w:rPr>
              <w:t>tereptanulmányok</w:t>
            </w:r>
            <w:proofErr w:type="spellEnd"/>
            <w:r w:rsidRPr="00562902">
              <w:rPr>
                <w:szCs w:val="24"/>
                <w:lang w:val="en-US"/>
              </w:rPr>
              <w:t xml:space="preserve">, </w:t>
            </w:r>
            <w:proofErr w:type="spellStart"/>
            <w:r w:rsidRPr="00562902">
              <w:rPr>
                <w:szCs w:val="24"/>
                <w:lang w:val="en-US"/>
              </w:rPr>
              <w:t>tábla</w:t>
            </w:r>
            <w:proofErr w:type="spellEnd"/>
            <w:r w:rsidRPr="00562902">
              <w:rPr>
                <w:szCs w:val="24"/>
                <w:lang w:val="en-US"/>
              </w:rPr>
              <w:t>, post-it</w:t>
            </w:r>
          </w:p>
        </w:tc>
      </w:tr>
      <w:tr w:rsidR="00B641DC" w:rsidRPr="005E59B2" w14:paraId="2DFCFFBD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0248DC83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Kompetenciák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40405239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>
              <w:rPr>
                <w:color w:val="auto"/>
                <w:szCs w:val="24"/>
                <w:lang w:val="hu-HU"/>
              </w:rPr>
              <w:t xml:space="preserve">A </w:t>
            </w:r>
            <w:r w:rsidRPr="00562902">
              <w:rPr>
                <w:color w:val="auto"/>
                <w:szCs w:val="24"/>
                <w:lang w:val="hu-HU"/>
              </w:rPr>
              <w:t xml:space="preserve">személyes erkölcsi </w:t>
            </w:r>
            <w:r>
              <w:rPr>
                <w:color w:val="auto"/>
                <w:szCs w:val="24"/>
                <w:lang w:val="hu-HU"/>
              </w:rPr>
              <w:t>eszköztár</w:t>
            </w:r>
            <w:r w:rsidRPr="00562902">
              <w:rPr>
                <w:color w:val="auto"/>
                <w:szCs w:val="24"/>
                <w:lang w:val="hu-HU"/>
              </w:rPr>
              <w:t xml:space="preserve"> megerősítés</w:t>
            </w:r>
            <w:r>
              <w:rPr>
                <w:color w:val="auto"/>
                <w:szCs w:val="24"/>
                <w:lang w:val="hu-HU"/>
              </w:rPr>
              <w:t>e</w:t>
            </w:r>
            <w:r w:rsidRPr="00562902">
              <w:rPr>
                <w:color w:val="auto"/>
                <w:szCs w:val="24"/>
                <w:lang w:val="hu-HU"/>
              </w:rPr>
              <w:t>.</w:t>
            </w:r>
          </w:p>
          <w:p w14:paraId="7E9F3D3B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 xml:space="preserve">Az egyéni élettapasztalatok </w:t>
            </w:r>
            <w:r>
              <w:rPr>
                <w:color w:val="auto"/>
                <w:szCs w:val="24"/>
                <w:lang w:val="hu-HU"/>
              </w:rPr>
              <w:t xml:space="preserve">fejlesztése abból a célból, hogy </w:t>
            </w:r>
            <w:r w:rsidRPr="00562902">
              <w:rPr>
                <w:color w:val="auto"/>
                <w:szCs w:val="24"/>
                <w:lang w:val="hu-HU"/>
              </w:rPr>
              <w:t>egy meghatározott cél keretein belül</w:t>
            </w:r>
            <w:r>
              <w:rPr>
                <w:color w:val="auto"/>
                <w:szCs w:val="24"/>
                <w:lang w:val="hu-HU"/>
              </w:rPr>
              <w:t xml:space="preserve"> képes legyen</w:t>
            </w:r>
            <w:r w:rsidRPr="00562902">
              <w:rPr>
                <w:color w:val="auto"/>
                <w:szCs w:val="24"/>
                <w:lang w:val="hu-HU"/>
              </w:rPr>
              <w:t xml:space="preserve"> megfigyel</w:t>
            </w:r>
            <w:r>
              <w:rPr>
                <w:color w:val="auto"/>
                <w:szCs w:val="24"/>
                <w:lang w:val="hu-HU"/>
              </w:rPr>
              <w:t>ni és értékelni</w:t>
            </w:r>
            <w:r w:rsidRPr="00562902">
              <w:rPr>
                <w:color w:val="auto"/>
                <w:szCs w:val="24"/>
                <w:lang w:val="hu-HU"/>
              </w:rPr>
              <w:t>.</w:t>
            </w:r>
          </w:p>
          <w:p w14:paraId="3DFD0030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 xml:space="preserve">Képes legyen elmagyarázni, hogy a beszélgetőpartnerek vallási, erkölcsi és filozófiai háttéren tájékozódva járnak el </w:t>
            </w:r>
            <w:r>
              <w:rPr>
                <w:color w:val="auto"/>
                <w:szCs w:val="24"/>
                <w:lang w:val="hu-HU"/>
              </w:rPr>
              <w:t xml:space="preserve">– és hoznak döntéseket – </w:t>
            </w:r>
            <w:r w:rsidRPr="00562902">
              <w:rPr>
                <w:color w:val="auto"/>
                <w:szCs w:val="24"/>
                <w:lang w:val="hu-HU"/>
              </w:rPr>
              <w:t>mindennapi élet</w:t>
            </w:r>
            <w:r>
              <w:rPr>
                <w:color w:val="auto"/>
                <w:szCs w:val="24"/>
                <w:lang w:val="hu-HU"/>
              </w:rPr>
              <w:t>ük</w:t>
            </w:r>
            <w:r w:rsidRPr="00562902">
              <w:rPr>
                <w:color w:val="auto"/>
                <w:szCs w:val="24"/>
                <w:lang w:val="hu-HU"/>
              </w:rPr>
              <w:t xml:space="preserve"> eseményeiben.</w:t>
            </w:r>
          </w:p>
        </w:tc>
      </w:tr>
      <w:tr w:rsidR="00B641DC" w:rsidRPr="005E59B2" w14:paraId="108AACC4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5DEBC861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lastRenderedPageBreak/>
              <w:t>Előkészítő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tevékenységek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39731F75" w14:textId="77777777" w:rsidR="00B641DC" w:rsidRPr="005E59B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>Az óra előtt arra kérjük a tanulókat, hogy figyeljék meg a körülöttük lévő embereket. Arra kérjük őket, hogy hallgassák az őket körülvevők</w:t>
            </w:r>
            <w:r>
              <w:rPr>
                <w:color w:val="auto"/>
                <w:szCs w:val="24"/>
                <w:lang w:val="hu-HU"/>
              </w:rPr>
              <w:t xml:space="preserve"> történeteit</w:t>
            </w:r>
            <w:r w:rsidRPr="00562902">
              <w:rPr>
                <w:color w:val="auto"/>
                <w:szCs w:val="24"/>
                <w:lang w:val="hu-HU"/>
              </w:rPr>
              <w:t>, különös tekintettel az üzleti életükkel kapcsolatos emlékeikre, az őszinteség példáira, amelyekkel életútjuk során találkoztak; valamint elért eredményeik példáira.</w:t>
            </w:r>
          </w:p>
        </w:tc>
      </w:tr>
      <w:tr w:rsidR="00B641DC" w:rsidRPr="00562902" w14:paraId="281A3A65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331285D7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Várt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eredmények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68A54A24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>Képessé tenni a tanulókat arra, hogy megértsék a vallás, az erkölcs és a társadalmi élet kapcsolatát, lássák meg az erkölcs által számukra biztosított anyagi és világi előnyöket, valamint szellemi és túlvilági előnyöket.</w:t>
            </w:r>
          </w:p>
        </w:tc>
      </w:tr>
      <w:tr w:rsidR="00B641DC" w:rsidRPr="00562902" w14:paraId="0F72FD22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113EFD13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Várható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nehézségek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387F8736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>Szövegértési nehézségek a tantárgy elvont természetéből adódóan</w:t>
            </w:r>
          </w:p>
        </w:tc>
      </w:tr>
      <w:tr w:rsidR="00B641DC" w:rsidRPr="00562902" w14:paraId="7D8F0F89" w14:textId="77777777" w:rsidTr="00035831">
        <w:trPr>
          <w:trHeight w:val="200"/>
        </w:trPr>
        <w:tc>
          <w:tcPr>
            <w:tcW w:w="4032" w:type="dxa"/>
            <w:shd w:val="clear" w:color="auto" w:fill="FFE599"/>
          </w:tcPr>
          <w:p w14:paraId="4965C503" w14:textId="77777777" w:rsidR="00B641DC" w:rsidRPr="00562902" w:rsidRDefault="00B641DC" w:rsidP="00035831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62902">
              <w:rPr>
                <w:b/>
                <w:bCs/>
                <w:szCs w:val="24"/>
              </w:rPr>
              <w:t>További</w:t>
            </w:r>
            <w:proofErr w:type="spellEnd"/>
            <w:r w:rsidRPr="00562902">
              <w:rPr>
                <w:b/>
                <w:bCs/>
                <w:szCs w:val="24"/>
              </w:rPr>
              <w:t xml:space="preserve"> </w:t>
            </w:r>
            <w:proofErr w:type="spellStart"/>
            <w:r w:rsidRPr="00562902">
              <w:rPr>
                <w:b/>
                <w:bCs/>
                <w:szCs w:val="24"/>
              </w:rPr>
              <w:t>tevékenység</w:t>
            </w:r>
            <w:proofErr w:type="spellEnd"/>
            <w:r w:rsidRPr="00562902">
              <w:rPr>
                <w:b/>
                <w:bCs/>
                <w:szCs w:val="24"/>
              </w:rPr>
              <w:t>:</w:t>
            </w:r>
          </w:p>
        </w:tc>
        <w:tc>
          <w:tcPr>
            <w:tcW w:w="9443" w:type="dxa"/>
            <w:shd w:val="clear" w:color="auto" w:fill="auto"/>
          </w:tcPr>
          <w:p w14:paraId="6043DEC0" w14:textId="77777777" w:rsidR="00B641DC" w:rsidRPr="00562902" w:rsidRDefault="00B641DC" w:rsidP="00035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62902">
              <w:rPr>
                <w:color w:val="auto"/>
                <w:szCs w:val="24"/>
                <w:lang w:val="hu-HU"/>
              </w:rPr>
              <w:t xml:space="preserve">Történeteket </w:t>
            </w:r>
            <w:r>
              <w:rPr>
                <w:color w:val="auto"/>
                <w:szCs w:val="24"/>
                <w:lang w:val="hu-HU"/>
              </w:rPr>
              <w:t>meghallgatása</w:t>
            </w:r>
            <w:r w:rsidRPr="00562902">
              <w:rPr>
                <w:color w:val="auto"/>
                <w:szCs w:val="24"/>
                <w:lang w:val="hu-HU"/>
              </w:rPr>
              <w:t xml:space="preserve"> az üzleti életük során tapasztalt erkölcsi, pozitív és negatív viselkedésekről úgy, hogy a köz- és a magánszektor példaképei, felsővezetők vagy üzletemberek</w:t>
            </w:r>
            <w:r>
              <w:rPr>
                <w:color w:val="auto"/>
                <w:szCs w:val="24"/>
                <w:lang w:val="hu-HU"/>
              </w:rPr>
              <w:t xml:space="preserve"> beszélnek</w:t>
            </w:r>
            <w:r w:rsidRPr="00562902">
              <w:rPr>
                <w:color w:val="auto"/>
                <w:szCs w:val="24"/>
                <w:lang w:val="hu-HU"/>
              </w:rPr>
              <w:t xml:space="preserve"> 45 perces konferenciák formájában 1-2 alkalommal az év során.</w:t>
            </w:r>
          </w:p>
          <w:p w14:paraId="26C563B6" w14:textId="77777777" w:rsidR="00B641DC" w:rsidRPr="00562902" w:rsidRDefault="00B641DC" w:rsidP="00035831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</w:tr>
    </w:tbl>
    <w:p w14:paraId="4DD3C06A" w14:textId="77777777" w:rsidR="00B641DC" w:rsidRDefault="00B641DC" w:rsidP="00023ACA">
      <w:pPr>
        <w:jc w:val="center"/>
        <w:outlineLvl w:val="0"/>
        <w:rPr>
          <w:b/>
          <w:sz w:val="36"/>
          <w:lang w:val="en-US"/>
        </w:rPr>
      </w:pPr>
    </w:p>
    <w:p w14:paraId="7ED09F37" w14:textId="77777777" w:rsidR="00B641DC" w:rsidRPr="00562902" w:rsidRDefault="00B641DC" w:rsidP="00023ACA">
      <w:pPr>
        <w:jc w:val="center"/>
        <w:outlineLvl w:val="0"/>
        <w:rPr>
          <w:b/>
          <w:sz w:val="36"/>
          <w:lang w:val="en-US"/>
        </w:rPr>
      </w:pPr>
    </w:p>
    <w:tbl>
      <w:tblPr>
        <w:tblW w:w="13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"/>
        <w:gridCol w:w="7508"/>
        <w:gridCol w:w="5010"/>
      </w:tblGrid>
      <w:tr w:rsidR="00895E77" w:rsidRPr="00562902" w14:paraId="7D9E7A07" w14:textId="77777777" w:rsidTr="00562902">
        <w:trPr>
          <w:trHeight w:val="200"/>
        </w:trPr>
        <w:tc>
          <w:tcPr>
            <w:tcW w:w="957" w:type="dxa"/>
            <w:shd w:val="clear" w:color="auto" w:fill="FFE599"/>
          </w:tcPr>
          <w:p w14:paraId="4F5AC17E" w14:textId="2D0C465D" w:rsidR="00895E77" w:rsidRPr="00562902" w:rsidRDefault="00AE1665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562902">
              <w:rPr>
                <w:b/>
                <w:smallCaps/>
                <w:szCs w:val="24"/>
              </w:rPr>
              <w:t>Idő</w:t>
            </w:r>
            <w:proofErr w:type="spellEnd"/>
          </w:p>
        </w:tc>
        <w:tc>
          <w:tcPr>
            <w:tcW w:w="7508" w:type="dxa"/>
            <w:shd w:val="clear" w:color="auto" w:fill="FFE599"/>
          </w:tcPr>
          <w:p w14:paraId="67BDD3E4" w14:textId="3F29DF30" w:rsidR="00895E77" w:rsidRPr="00562902" w:rsidRDefault="00AE1665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562902">
              <w:rPr>
                <w:b/>
                <w:smallCaps/>
                <w:szCs w:val="24"/>
              </w:rPr>
              <w:t>Folyamat</w:t>
            </w:r>
            <w:proofErr w:type="spellEnd"/>
            <w:r w:rsidR="00895E77" w:rsidRPr="00562902">
              <w:rPr>
                <w:b/>
                <w:smallCaps/>
                <w:szCs w:val="24"/>
              </w:rPr>
              <w:t xml:space="preserve">    (T: teacher; SS: students</w:t>
            </w:r>
            <w:r w:rsidR="000456E1" w:rsidRPr="00562902">
              <w:rPr>
                <w:b/>
                <w:smallCaps/>
                <w:szCs w:val="24"/>
              </w:rPr>
              <w:t xml:space="preserve">; </w:t>
            </w:r>
            <w:r w:rsidR="00CF6CC0" w:rsidRPr="00562902">
              <w:rPr>
                <w:b/>
                <w:smallCaps/>
                <w:szCs w:val="24"/>
              </w:rPr>
              <w:t>O: other</w:t>
            </w:r>
            <w:r w:rsidR="00895E77" w:rsidRPr="00562902">
              <w:rPr>
                <w:b/>
                <w:smallCaps/>
                <w:szCs w:val="24"/>
              </w:rPr>
              <w:t>)</w:t>
            </w:r>
          </w:p>
        </w:tc>
        <w:tc>
          <w:tcPr>
            <w:tcW w:w="5010" w:type="dxa"/>
            <w:shd w:val="clear" w:color="auto" w:fill="FFE599"/>
          </w:tcPr>
          <w:p w14:paraId="7876B8DA" w14:textId="0E5CE42E" w:rsidR="00895E77" w:rsidRPr="00562902" w:rsidRDefault="00AE1665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562902">
              <w:rPr>
                <w:b/>
                <w:szCs w:val="24"/>
              </w:rPr>
              <w:t>MÓDSZER</w:t>
            </w:r>
          </w:p>
        </w:tc>
      </w:tr>
      <w:tr w:rsidR="00895E77" w:rsidRPr="005E59B2" w14:paraId="0A83AEBA" w14:textId="77777777" w:rsidTr="00562902">
        <w:trPr>
          <w:trHeight w:val="200"/>
        </w:trPr>
        <w:tc>
          <w:tcPr>
            <w:tcW w:w="957" w:type="dxa"/>
            <w:shd w:val="clear" w:color="auto" w:fill="auto"/>
            <w:vAlign w:val="center"/>
          </w:tcPr>
          <w:p w14:paraId="26D0A6A8" w14:textId="6B54A52E" w:rsidR="00895E77" w:rsidRPr="00562902" w:rsidRDefault="00065079" w:rsidP="005C0365">
            <w:pPr>
              <w:jc w:val="center"/>
              <w:rPr>
                <w:b/>
                <w:smallCaps/>
                <w:lang w:val="hu-HU"/>
              </w:rPr>
            </w:pPr>
            <w:r w:rsidRPr="00562902"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508" w:type="dxa"/>
            <w:shd w:val="clear" w:color="auto" w:fill="auto"/>
          </w:tcPr>
          <w:p w14:paraId="5A0AAE8B" w14:textId="77777777" w:rsidR="00895E77" w:rsidRPr="005E59B2" w:rsidRDefault="00895E77" w:rsidP="009B1C45">
            <w:pPr>
              <w:rPr>
                <w:b/>
                <w:smallCaps/>
                <w:szCs w:val="24"/>
                <w:lang w:val="hu-HU"/>
              </w:rPr>
            </w:pPr>
          </w:p>
          <w:p w14:paraId="2B2B0296" w14:textId="1E242081" w:rsidR="00562902" w:rsidRPr="000C56C3" w:rsidRDefault="00562902" w:rsidP="00562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0C56C3">
              <w:rPr>
                <w:color w:val="auto"/>
                <w:szCs w:val="24"/>
                <w:lang w:val="hu-HU"/>
              </w:rPr>
              <w:t>a- Mindenekelőtt arra kérik a tanulókat, hogy a post-itekre írják fel azt az 5 alapvető erkölcsi erényt, amelye</w:t>
            </w:r>
            <w:r w:rsidR="005C23AD">
              <w:rPr>
                <w:color w:val="auto"/>
                <w:szCs w:val="24"/>
                <w:lang w:val="hu-HU"/>
              </w:rPr>
              <w:t>ke</w:t>
            </w:r>
            <w:r w:rsidRPr="000C56C3">
              <w:rPr>
                <w:color w:val="auto"/>
                <w:szCs w:val="24"/>
                <w:lang w:val="hu-HU"/>
              </w:rPr>
              <w:t>t az egyéni és társadalmi életben a leginkább értékelnek.</w:t>
            </w:r>
          </w:p>
          <w:p w14:paraId="2C0F0843" w14:textId="1D1BC98C" w:rsidR="00562902" w:rsidRPr="000C56C3" w:rsidRDefault="00562902" w:rsidP="00562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0C56C3">
              <w:rPr>
                <w:color w:val="auto"/>
                <w:szCs w:val="24"/>
                <w:lang w:val="hu-HU"/>
              </w:rPr>
              <w:t xml:space="preserve">A cél itt az, hogy a tanulókat arra ösztönözze, hogy gondolkodjanak el a mindennapi életükben állandóan végzett cselekvéseik erkölcsi hátteréről anélkül, hogy túl sokat </w:t>
            </w:r>
            <w:r w:rsidR="000C56C3" w:rsidRPr="000C56C3">
              <w:rPr>
                <w:color w:val="auto"/>
                <w:szCs w:val="24"/>
                <w:lang w:val="hu-HU"/>
              </w:rPr>
              <w:t>időt fordítanának erre</w:t>
            </w:r>
            <w:r w:rsidRPr="000C56C3">
              <w:rPr>
                <w:color w:val="auto"/>
                <w:szCs w:val="24"/>
                <w:lang w:val="hu-HU"/>
              </w:rPr>
              <w:t>.</w:t>
            </w:r>
          </w:p>
          <w:p w14:paraId="57BCCF06" w14:textId="107BEF5F" w:rsidR="00562902" w:rsidRPr="000C56C3" w:rsidRDefault="00562902" w:rsidP="00562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0C56C3">
              <w:rPr>
                <w:color w:val="auto"/>
                <w:szCs w:val="24"/>
                <w:lang w:val="hu-HU"/>
              </w:rPr>
              <w:t xml:space="preserve">b- Ezt követően megkérjük a tanulókat, hogy ragasszák fel a táblára a náluk lévő </w:t>
            </w:r>
            <w:r w:rsidR="000C56C3" w:rsidRPr="000C56C3">
              <w:rPr>
                <w:color w:val="auto"/>
                <w:szCs w:val="24"/>
                <w:lang w:val="hu-HU"/>
              </w:rPr>
              <w:t>post-iteket</w:t>
            </w:r>
            <w:r w:rsidRPr="000C56C3">
              <w:rPr>
                <w:color w:val="auto"/>
                <w:szCs w:val="24"/>
                <w:lang w:val="hu-HU"/>
              </w:rPr>
              <w:t>.</w:t>
            </w:r>
          </w:p>
          <w:p w14:paraId="015F0D79" w14:textId="43E215CA" w:rsidR="00562902" w:rsidRPr="00562902" w:rsidRDefault="00562902" w:rsidP="00562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0C56C3">
              <w:rPr>
                <w:color w:val="auto"/>
                <w:szCs w:val="24"/>
                <w:lang w:val="hu-HU"/>
              </w:rPr>
              <w:t xml:space="preserve">c- A tanár megkéri a tanulókat, hogy a post-it-en lévő írásokat olvassák fel az egész osztálynak, amelyeket a táblára ragasztanak. Ezen a ponton a </w:t>
            </w:r>
            <w:r w:rsidRPr="000C56C3">
              <w:rPr>
                <w:color w:val="auto"/>
                <w:szCs w:val="24"/>
                <w:lang w:val="hu-HU"/>
              </w:rPr>
              <w:lastRenderedPageBreak/>
              <w:t xml:space="preserve">tanulók által felírt erkölcsi erények </w:t>
            </w:r>
            <w:r w:rsidR="005C23AD">
              <w:rPr>
                <w:color w:val="auto"/>
                <w:szCs w:val="24"/>
                <w:lang w:val="hu-HU"/>
              </w:rPr>
              <w:t>átrendeződnek</w:t>
            </w:r>
            <w:r w:rsidRPr="000C56C3">
              <w:rPr>
                <w:color w:val="auto"/>
                <w:szCs w:val="24"/>
                <w:lang w:val="hu-HU"/>
              </w:rPr>
              <w:t xml:space="preserve"> a táblá</w:t>
            </w:r>
            <w:r w:rsidR="005C23AD">
              <w:rPr>
                <w:color w:val="auto"/>
                <w:szCs w:val="24"/>
                <w:lang w:val="hu-HU"/>
              </w:rPr>
              <w:t>n</w:t>
            </w:r>
            <w:r w:rsidRPr="000C56C3">
              <w:rPr>
                <w:color w:val="auto"/>
                <w:szCs w:val="24"/>
                <w:lang w:val="hu-HU"/>
              </w:rPr>
              <w:t>, az egyik oldalon azok</w:t>
            </w:r>
            <w:r w:rsidR="005C23AD">
              <w:rPr>
                <w:color w:val="auto"/>
                <w:szCs w:val="24"/>
                <w:lang w:val="hu-HU"/>
              </w:rPr>
              <w:t xml:space="preserve"> lesznek</w:t>
            </w:r>
            <w:r w:rsidRPr="000C56C3">
              <w:rPr>
                <w:color w:val="auto"/>
                <w:szCs w:val="24"/>
                <w:lang w:val="hu-HU"/>
              </w:rPr>
              <w:t>, amelyekben többnyire egyetértenek, a másik oldalon azok, amelyek</w:t>
            </w:r>
            <w:r w:rsidR="000C56C3">
              <w:rPr>
                <w:color w:val="auto"/>
                <w:szCs w:val="24"/>
                <w:lang w:val="hu-HU"/>
              </w:rPr>
              <w:t>ben kevésbé</w:t>
            </w:r>
            <w:r w:rsidRPr="000C56C3">
              <w:rPr>
                <w:color w:val="auto"/>
                <w:szCs w:val="24"/>
                <w:lang w:val="hu-HU"/>
              </w:rPr>
              <w:t>.</w:t>
            </w:r>
          </w:p>
          <w:p w14:paraId="0021A1AC" w14:textId="0B7F3BEF" w:rsidR="009B1C45" w:rsidRPr="005E59B2" w:rsidRDefault="009B1C45" w:rsidP="00023ACA">
            <w:pPr>
              <w:pStyle w:val="Bezodstpw"/>
              <w:jc w:val="both"/>
              <w:rPr>
                <w:b/>
                <w:smallCaps/>
                <w:szCs w:val="24"/>
                <w:lang w:val="hu-HU"/>
              </w:rPr>
            </w:pPr>
          </w:p>
        </w:tc>
        <w:tc>
          <w:tcPr>
            <w:tcW w:w="5010" w:type="dxa"/>
            <w:shd w:val="clear" w:color="auto" w:fill="auto"/>
          </w:tcPr>
          <w:p w14:paraId="7FAF4B3C" w14:textId="77777777" w:rsidR="00895E77" w:rsidRPr="005E59B2" w:rsidRDefault="00895E77" w:rsidP="009A405D">
            <w:pPr>
              <w:rPr>
                <w:lang w:val="hu-HU"/>
              </w:rPr>
            </w:pPr>
          </w:p>
          <w:p w14:paraId="41E1BD3D" w14:textId="731F3CF8" w:rsidR="007526E7" w:rsidRPr="005E59B2" w:rsidRDefault="00AE1665" w:rsidP="007526E7">
            <w:pPr>
              <w:rPr>
                <w:color w:val="auto"/>
                <w:lang w:val="hu-HU"/>
              </w:rPr>
            </w:pPr>
            <w:r w:rsidRPr="005E59B2">
              <w:rPr>
                <w:color w:val="auto"/>
                <w:lang w:val="hu-HU"/>
              </w:rPr>
              <w:t>Ötletelés</w:t>
            </w:r>
          </w:p>
          <w:p w14:paraId="0C25A594" w14:textId="4C0D22B3" w:rsidR="007526E7" w:rsidRPr="005E59B2" w:rsidRDefault="00AE1665" w:rsidP="007526E7">
            <w:pPr>
              <w:rPr>
                <w:color w:val="auto"/>
                <w:lang w:val="hu-HU"/>
              </w:rPr>
            </w:pPr>
            <w:r w:rsidRPr="005E59B2">
              <w:rPr>
                <w:color w:val="auto"/>
                <w:lang w:val="hu-HU"/>
              </w:rPr>
              <w:t>Egyéni tanulás</w:t>
            </w:r>
          </w:p>
          <w:p w14:paraId="43395BCD" w14:textId="06842A3A" w:rsidR="009B1C45" w:rsidRPr="005E59B2" w:rsidRDefault="00AE1665" w:rsidP="007526E7">
            <w:pPr>
              <w:rPr>
                <w:color w:val="auto"/>
                <w:lang w:val="hu-HU"/>
              </w:rPr>
            </w:pPr>
            <w:r w:rsidRPr="005E59B2">
              <w:rPr>
                <w:color w:val="auto"/>
                <w:lang w:val="hu-HU"/>
              </w:rPr>
              <w:t>páros munka</w:t>
            </w:r>
          </w:p>
        </w:tc>
      </w:tr>
      <w:tr w:rsidR="005A20C3" w:rsidRPr="005E59B2" w14:paraId="677E0A3F" w14:textId="77777777" w:rsidTr="00562902">
        <w:trPr>
          <w:trHeight w:val="2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2FBD5069" w:rsidR="005A20C3" w:rsidRPr="00562902" w:rsidRDefault="0006507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562902"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73C" w14:textId="78E1565E" w:rsidR="00AE1665" w:rsidRPr="005C23AD" w:rsidRDefault="00AE1665" w:rsidP="00AE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a- A tanár rövid értékelő beszédet tart arról, hogy milyen alapvető erkölcsi erények léteznek a vallás-, kultúra- és filozófiatörténetben.</w:t>
            </w:r>
          </w:p>
          <w:p w14:paraId="19F2AEEF" w14:textId="5B1AD994" w:rsidR="00AE1665" w:rsidRPr="005C23AD" w:rsidRDefault="00AE1665" w:rsidP="00AE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b- Ebben a bevezető beszédben – az elméleti megbeszéléseken túl – ezeknek a</w:t>
            </w:r>
            <w:r w:rsidR="000C56C3" w:rsidRPr="005C23AD">
              <w:rPr>
                <w:color w:val="auto"/>
                <w:szCs w:val="24"/>
                <w:lang w:val="hu-HU"/>
              </w:rPr>
              <w:t xml:space="preserve">z erényeknek </w:t>
            </w:r>
            <w:r w:rsidRPr="005C23AD">
              <w:rPr>
                <w:color w:val="auto"/>
                <w:szCs w:val="24"/>
                <w:lang w:val="hu-HU"/>
              </w:rPr>
              <w:t>a gyakorlati életben való reflexióját kiemelten kezeljük.</w:t>
            </w:r>
          </w:p>
          <w:p w14:paraId="0E2DBAE7" w14:textId="3237FDC7" w:rsidR="00AE1665" w:rsidRPr="005C23AD" w:rsidRDefault="00AE1665" w:rsidP="00AE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 xml:space="preserve">c- Az erkölcsi </w:t>
            </w:r>
            <w:r w:rsidR="000C56C3" w:rsidRPr="005C23AD">
              <w:rPr>
                <w:color w:val="auto"/>
                <w:szCs w:val="24"/>
                <w:lang w:val="hu-HU"/>
              </w:rPr>
              <w:t>értékek</w:t>
            </w:r>
            <w:r w:rsidRPr="005C23AD">
              <w:rPr>
                <w:color w:val="auto"/>
                <w:szCs w:val="24"/>
                <w:lang w:val="hu-HU"/>
              </w:rPr>
              <w:t xml:space="preserve"> tükröződését a mindennapi életben konkrétan magyarázzák el, amelyet a tanulók saját életükben modellezhetnek történelmi példákkal.</w:t>
            </w:r>
          </w:p>
          <w:p w14:paraId="2816D469" w14:textId="585F5BFD" w:rsidR="006513F6" w:rsidRPr="005C23AD" w:rsidRDefault="00AE1665" w:rsidP="00AE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d- A</w:t>
            </w:r>
            <w:r w:rsidR="005A1EBC" w:rsidRPr="005C23AD">
              <w:rPr>
                <w:color w:val="auto"/>
                <w:szCs w:val="24"/>
                <w:lang w:val="hu-HU"/>
              </w:rPr>
              <w:t xml:space="preserve"> tanár közvetíti a tanulók felé a</w:t>
            </w:r>
            <w:r w:rsidRPr="005C23AD">
              <w:rPr>
                <w:color w:val="auto"/>
                <w:szCs w:val="24"/>
                <w:lang w:val="hu-HU"/>
              </w:rPr>
              <w:t xml:space="preserve">zokat a szociológiai kutatásokat, amelyek szerint az erkölcsös egyéneket előtérbe helyezik a társadalmi életben, és hogy az erkölcsös egyéneket előnyben részesítik az álláspályázatokban és a toborzásban minden szinten, a legkisebb egységektől a nagy szervezetekig a köz- és magánszektorban </w:t>
            </w:r>
            <w:r w:rsidR="005A1EBC" w:rsidRPr="005C23AD">
              <w:rPr>
                <w:color w:val="auto"/>
                <w:szCs w:val="24"/>
                <w:lang w:val="hu-HU"/>
              </w:rPr>
              <w:t>egyaránt.</w:t>
            </w:r>
            <w:r w:rsidRPr="005C23AD">
              <w:rPr>
                <w:color w:val="auto"/>
                <w:szCs w:val="24"/>
                <w:lang w:val="hu-HU"/>
              </w:rPr>
              <w:t xml:space="preserve"> </w:t>
            </w:r>
          </w:p>
          <w:p w14:paraId="5DEE7105" w14:textId="5960E628" w:rsidR="005A20C3" w:rsidRPr="005E59B2" w:rsidRDefault="00AE1665" w:rsidP="00651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 xml:space="preserve">Fontos ezeket a tanulmányokat grafikus táblázatokkal </w:t>
            </w:r>
            <w:r w:rsidR="000C56C3" w:rsidRPr="005C23AD">
              <w:rPr>
                <w:color w:val="auto"/>
                <w:szCs w:val="24"/>
                <w:lang w:val="hu-HU"/>
              </w:rPr>
              <w:t xml:space="preserve">is </w:t>
            </w:r>
            <w:r w:rsidRPr="005C23AD">
              <w:rPr>
                <w:color w:val="auto"/>
                <w:szCs w:val="24"/>
                <w:lang w:val="hu-HU"/>
              </w:rPr>
              <w:t>megjeleníteni.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5E59B2" w:rsidRDefault="00460CA4" w:rsidP="00C13A72">
            <w:pPr>
              <w:jc w:val="center"/>
              <w:rPr>
                <w:lang w:val="hu-HU"/>
              </w:rPr>
            </w:pPr>
          </w:p>
          <w:p w14:paraId="74DD0660" w14:textId="77777777" w:rsidR="005A20C3" w:rsidRPr="005E59B2" w:rsidRDefault="005A20C3" w:rsidP="006D4F85">
            <w:pPr>
              <w:spacing w:before="240" w:after="240"/>
              <w:jc w:val="center"/>
              <w:rPr>
                <w:lang w:val="hu-HU"/>
              </w:rPr>
            </w:pPr>
          </w:p>
          <w:p w14:paraId="28BD608A" w14:textId="3A2E298C" w:rsidR="007526E7" w:rsidRPr="005E59B2" w:rsidRDefault="00AE1665" w:rsidP="007526E7">
            <w:pPr>
              <w:spacing w:before="240" w:after="240"/>
              <w:jc w:val="center"/>
              <w:rPr>
                <w:szCs w:val="24"/>
                <w:lang w:val="hu-HU"/>
              </w:rPr>
            </w:pPr>
            <w:r w:rsidRPr="005E59B2">
              <w:rPr>
                <w:szCs w:val="24"/>
                <w:lang w:val="hu-HU"/>
              </w:rPr>
              <w:t>Előadás</w:t>
            </w:r>
          </w:p>
          <w:p w14:paraId="042D45CF" w14:textId="77777777" w:rsidR="007526E7" w:rsidRPr="005E59B2" w:rsidRDefault="007526E7" w:rsidP="007526E7">
            <w:pPr>
              <w:spacing w:before="240" w:after="240"/>
              <w:jc w:val="center"/>
              <w:rPr>
                <w:szCs w:val="24"/>
                <w:lang w:val="hu-HU"/>
              </w:rPr>
            </w:pPr>
          </w:p>
          <w:p w14:paraId="584CB369" w14:textId="118BAF0B" w:rsidR="00AE1665" w:rsidRPr="005C23AD" w:rsidRDefault="00AE1665" w:rsidP="00AE1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Példaértékű és történelmi háttérrészletek</w:t>
            </w:r>
          </w:p>
          <w:p w14:paraId="2598663D" w14:textId="77777777" w:rsidR="007526E7" w:rsidRPr="005E59B2" w:rsidRDefault="007526E7" w:rsidP="007526E7">
            <w:pPr>
              <w:spacing w:before="240" w:after="240"/>
              <w:jc w:val="center"/>
              <w:rPr>
                <w:szCs w:val="24"/>
                <w:lang w:val="hu-HU"/>
              </w:rPr>
            </w:pPr>
          </w:p>
          <w:p w14:paraId="16C39028" w14:textId="7A0EB394" w:rsidR="009B1C45" w:rsidRPr="005E59B2" w:rsidRDefault="00AE1665" w:rsidP="007526E7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5E59B2">
              <w:rPr>
                <w:szCs w:val="24"/>
                <w:lang w:val="hu-HU"/>
              </w:rPr>
              <w:t>Konkrét adatokon alapuló kutatási eredmények megosztása</w:t>
            </w:r>
          </w:p>
        </w:tc>
      </w:tr>
      <w:tr w:rsidR="005A20C3" w:rsidRPr="00562902" w14:paraId="026454B3" w14:textId="77777777" w:rsidTr="00562902">
        <w:trPr>
          <w:trHeight w:val="6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43C5E779" w:rsidR="005A20C3" w:rsidRPr="00562902" w:rsidRDefault="0006507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562902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29C2" w14:textId="123EDD0C" w:rsidR="005A1EBC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a- Ebben a részben a tanár által készített videó(ka)t és vizuális anyagokat tekintik meg, amelyek leírják az erkölcsös egyének életben elért eredményeit.</w:t>
            </w:r>
          </w:p>
          <w:p w14:paraId="3BE7AD01" w14:textId="64F08D0D" w:rsidR="005A20C3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b- Biztosítani kell, hogy az ezekben a videókban szereplő nézőpontokat a tanulók értékeljék. Célja, hogy előkészítse a terepet az órán belüli vitához, és megismertesse a tanulók véleményét erről a témáról.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BBA" w14:textId="7710EB0E" w:rsidR="007526E7" w:rsidRPr="00562902" w:rsidRDefault="00AE1665" w:rsidP="007526E7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562902">
              <w:rPr>
                <w:szCs w:val="24"/>
              </w:rPr>
              <w:t>Vizuális</w:t>
            </w:r>
            <w:proofErr w:type="spellEnd"/>
            <w:r w:rsidRPr="00562902">
              <w:rPr>
                <w:szCs w:val="24"/>
              </w:rPr>
              <w:t xml:space="preserve"> </w:t>
            </w:r>
            <w:proofErr w:type="spellStart"/>
            <w:r w:rsidRPr="00562902">
              <w:rPr>
                <w:szCs w:val="24"/>
              </w:rPr>
              <w:t>anyagfigyelés</w:t>
            </w:r>
            <w:proofErr w:type="spellEnd"/>
          </w:p>
          <w:p w14:paraId="22096E09" w14:textId="77777777" w:rsidR="007526E7" w:rsidRPr="00562902" w:rsidRDefault="007526E7" w:rsidP="007526E7">
            <w:pPr>
              <w:spacing w:before="240" w:after="240"/>
              <w:jc w:val="center"/>
              <w:rPr>
                <w:szCs w:val="24"/>
              </w:rPr>
            </w:pPr>
          </w:p>
          <w:p w14:paraId="2AE0853E" w14:textId="57AC0AAB" w:rsidR="009B1C45" w:rsidRPr="00562902" w:rsidRDefault="00AE1665" w:rsidP="007526E7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562902">
              <w:rPr>
                <w:szCs w:val="24"/>
              </w:rPr>
              <w:t>Csoportos</w:t>
            </w:r>
            <w:proofErr w:type="spellEnd"/>
            <w:r w:rsidRPr="00562902">
              <w:rPr>
                <w:szCs w:val="24"/>
              </w:rPr>
              <w:t xml:space="preserve"> </w:t>
            </w:r>
            <w:proofErr w:type="spellStart"/>
            <w:r w:rsidRPr="00562902">
              <w:rPr>
                <w:szCs w:val="24"/>
              </w:rPr>
              <w:t>beszélgetés</w:t>
            </w:r>
            <w:proofErr w:type="spellEnd"/>
          </w:p>
        </w:tc>
      </w:tr>
      <w:tr w:rsidR="00065079" w:rsidRPr="00562902" w14:paraId="609B82FD" w14:textId="77777777" w:rsidTr="00562902">
        <w:trPr>
          <w:trHeight w:val="5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8215" w14:textId="41261DF4" w:rsidR="00065079" w:rsidRPr="00562902" w:rsidRDefault="007526E7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562902"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DA2A" w14:textId="6C77BA8D" w:rsidR="005A1EBC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a- Az óra ezen részében a tanár felkérheti a tanulókat, hogy fejtsék ki véleményüket, miközben tájékoztatják a tanulókat az erkölcsi erények emberi élethez</w:t>
            </w:r>
            <w:r w:rsidR="00AB352E" w:rsidRPr="005C23AD">
              <w:rPr>
                <w:color w:val="auto"/>
                <w:szCs w:val="24"/>
                <w:lang w:val="hu-HU"/>
              </w:rPr>
              <w:t xml:space="preserve"> való pozitív hatásáról.</w:t>
            </w:r>
          </w:p>
          <w:p w14:paraId="7D92286A" w14:textId="2DE63B68" w:rsidR="005A1EBC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 xml:space="preserve">b- A leckét záró mondatok </w:t>
            </w:r>
            <w:r w:rsidR="00AB352E" w:rsidRPr="005C23AD">
              <w:rPr>
                <w:color w:val="auto"/>
                <w:szCs w:val="24"/>
                <w:lang w:val="hu-HU"/>
              </w:rPr>
              <w:t>szóljanak</w:t>
            </w:r>
            <w:r w:rsidRPr="005C23AD">
              <w:rPr>
                <w:color w:val="auto"/>
                <w:szCs w:val="24"/>
                <w:lang w:val="hu-HU"/>
              </w:rPr>
              <w:t xml:space="preserve"> az erkölcsös egyének életben elért eredményeiről, példáikról és a karriertervezésre gyakorolt ​​hatásaikról, saját életük tapasztalatai</w:t>
            </w:r>
            <w:r w:rsidR="00AB352E" w:rsidRPr="005C23AD">
              <w:rPr>
                <w:color w:val="auto"/>
                <w:szCs w:val="24"/>
                <w:lang w:val="hu-HU"/>
              </w:rPr>
              <w:t xml:space="preserve">, valamint </w:t>
            </w:r>
            <w:r w:rsidRPr="005C23AD">
              <w:rPr>
                <w:color w:val="auto"/>
                <w:szCs w:val="24"/>
                <w:lang w:val="hu-HU"/>
              </w:rPr>
              <w:t>a hallottak és olvasottak alapján.</w:t>
            </w:r>
          </w:p>
          <w:p w14:paraId="327A8BA3" w14:textId="24BFFA41" w:rsidR="00AB352E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lastRenderedPageBreak/>
              <w:t>c- Függetlenül attól, hogy melyik szakmát választják, amikor a hallgatók vallási kultúra és erkölcsi ismeretek birtokában vesznek részt kurzusokon, e</w:t>
            </w:r>
            <w:r w:rsidR="005C23AD" w:rsidRPr="005C23AD">
              <w:rPr>
                <w:color w:val="auto"/>
                <w:szCs w:val="24"/>
                <w:lang w:val="hu-HU"/>
              </w:rPr>
              <w:t>z</w:t>
            </w:r>
            <w:r w:rsidRPr="005C23AD">
              <w:rPr>
                <w:color w:val="auto"/>
                <w:szCs w:val="24"/>
                <w:lang w:val="hu-HU"/>
              </w:rPr>
              <w:t xml:space="preserve"> a kurzus hozzájárul személyiség</w:t>
            </w:r>
            <w:r w:rsidR="005C23AD" w:rsidRPr="005C23AD">
              <w:rPr>
                <w:color w:val="auto"/>
                <w:szCs w:val="24"/>
                <w:lang w:val="hu-HU"/>
              </w:rPr>
              <w:t xml:space="preserve">ük </w:t>
            </w:r>
            <w:r w:rsidRPr="005C23AD">
              <w:rPr>
                <w:color w:val="auto"/>
                <w:szCs w:val="24"/>
                <w:lang w:val="hu-HU"/>
              </w:rPr>
              <w:t>formálásukhoz</w:t>
            </w:r>
            <w:r w:rsidR="005C23AD" w:rsidRPr="005C23AD">
              <w:rPr>
                <w:color w:val="auto"/>
                <w:szCs w:val="24"/>
                <w:lang w:val="hu-HU"/>
              </w:rPr>
              <w:t xml:space="preserve"> oly módon, hogy</w:t>
            </w:r>
            <w:r w:rsidRPr="005C23AD">
              <w:rPr>
                <w:color w:val="auto"/>
                <w:szCs w:val="24"/>
                <w:lang w:val="hu-HU"/>
              </w:rPr>
              <w:t xml:space="preserve"> az anyagi és erkölcsi erő</w:t>
            </w:r>
            <w:r w:rsidR="005C23AD" w:rsidRPr="005C23AD">
              <w:rPr>
                <w:color w:val="auto"/>
                <w:szCs w:val="24"/>
                <w:lang w:val="hu-HU"/>
              </w:rPr>
              <w:t>t nyernek k</w:t>
            </w:r>
            <w:r w:rsidRPr="005C23AD">
              <w:rPr>
                <w:color w:val="auto"/>
                <w:szCs w:val="24"/>
                <w:lang w:val="hu-HU"/>
              </w:rPr>
              <w:t>arriertervezésük során a vallási kultúra megvalósítása révén</w:t>
            </w:r>
            <w:r w:rsidR="005C23AD" w:rsidRPr="005C23AD">
              <w:rPr>
                <w:color w:val="auto"/>
                <w:szCs w:val="24"/>
                <w:lang w:val="hu-HU"/>
              </w:rPr>
              <w:t>.</w:t>
            </w:r>
            <w:r w:rsidRPr="005C23AD">
              <w:rPr>
                <w:color w:val="auto"/>
                <w:szCs w:val="24"/>
                <w:lang w:val="hu-HU"/>
              </w:rPr>
              <w:t xml:space="preserve"> </w:t>
            </w:r>
          </w:p>
          <w:p w14:paraId="6B255C52" w14:textId="0C929036" w:rsidR="005A1EBC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 xml:space="preserve">Az itt elért eredményeket konkrét mondatokban közlik a </w:t>
            </w:r>
            <w:r w:rsidR="00AB352E" w:rsidRPr="005C23AD">
              <w:rPr>
                <w:color w:val="auto"/>
                <w:szCs w:val="24"/>
                <w:lang w:val="hu-HU"/>
              </w:rPr>
              <w:t>tanulókkal</w:t>
            </w:r>
            <w:r w:rsidRPr="005C23AD">
              <w:rPr>
                <w:color w:val="auto"/>
                <w:szCs w:val="24"/>
                <w:lang w:val="hu-HU"/>
              </w:rPr>
              <w:t>.</w:t>
            </w:r>
          </w:p>
          <w:p w14:paraId="1353B2B3" w14:textId="74D7EF46" w:rsidR="005A1EBC" w:rsidRPr="005C23AD" w:rsidRDefault="005A1EBC" w:rsidP="005A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C23AD">
              <w:rPr>
                <w:color w:val="auto"/>
                <w:szCs w:val="24"/>
                <w:lang w:val="hu-HU"/>
              </w:rPr>
              <w:t>d- Ha a tanulóknak kérdéseik vannak, azok</w:t>
            </w:r>
            <w:r w:rsidR="00AB352E" w:rsidRPr="005C23AD">
              <w:rPr>
                <w:color w:val="auto"/>
                <w:szCs w:val="24"/>
                <w:lang w:val="hu-HU"/>
              </w:rPr>
              <w:t>ra</w:t>
            </w:r>
            <w:r w:rsidRPr="005C23AD">
              <w:rPr>
                <w:color w:val="auto"/>
                <w:szCs w:val="24"/>
                <w:lang w:val="hu-HU"/>
              </w:rPr>
              <w:t xml:space="preserve"> a tanár </w:t>
            </w:r>
            <w:r w:rsidR="00AB352E" w:rsidRPr="005C23AD">
              <w:rPr>
                <w:color w:val="auto"/>
                <w:szCs w:val="24"/>
                <w:lang w:val="hu-HU"/>
              </w:rPr>
              <w:t>válaszol</w:t>
            </w:r>
            <w:r w:rsidRPr="005C23AD">
              <w:rPr>
                <w:color w:val="auto"/>
                <w:szCs w:val="24"/>
                <w:lang w:val="hu-HU"/>
              </w:rPr>
              <w:t xml:space="preserve"> és </w:t>
            </w:r>
            <w:r w:rsidR="00AB352E" w:rsidRPr="005C23AD">
              <w:rPr>
                <w:color w:val="auto"/>
                <w:szCs w:val="24"/>
                <w:lang w:val="hu-HU"/>
              </w:rPr>
              <w:t xml:space="preserve">szükség esetén </w:t>
            </w:r>
            <w:r w:rsidRPr="005C23AD">
              <w:rPr>
                <w:color w:val="auto"/>
                <w:szCs w:val="24"/>
                <w:lang w:val="hu-HU"/>
              </w:rPr>
              <w:t>magyaráz.</w:t>
            </w:r>
          </w:p>
          <w:p w14:paraId="33DE2709" w14:textId="6CD82681" w:rsidR="00065079" w:rsidRPr="005E59B2" w:rsidRDefault="00065079" w:rsidP="00023ACA">
            <w:pPr>
              <w:pStyle w:val="Bezodstpw"/>
              <w:rPr>
                <w:b/>
                <w:color w:val="auto"/>
                <w:szCs w:val="24"/>
                <w:lang w:val="hu-HU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2A45" w14:textId="70745DA5" w:rsidR="007526E7" w:rsidRPr="005E59B2" w:rsidRDefault="000C56C3" w:rsidP="007526E7">
            <w:pPr>
              <w:spacing w:before="240" w:after="240"/>
              <w:jc w:val="center"/>
              <w:rPr>
                <w:lang w:val="hu-HU"/>
              </w:rPr>
            </w:pPr>
            <w:r w:rsidRPr="005E59B2">
              <w:rPr>
                <w:lang w:val="hu-HU"/>
              </w:rPr>
              <w:lastRenderedPageBreak/>
              <w:t>Csoportos beszélgetés és vélemények formálása</w:t>
            </w:r>
          </w:p>
          <w:p w14:paraId="761A961E" w14:textId="77777777" w:rsidR="007526E7" w:rsidRPr="005E59B2" w:rsidRDefault="007526E7" w:rsidP="007526E7">
            <w:pPr>
              <w:spacing w:before="240" w:after="240"/>
              <w:jc w:val="center"/>
              <w:rPr>
                <w:lang w:val="hu-HU"/>
              </w:rPr>
            </w:pPr>
          </w:p>
          <w:p w14:paraId="74FE033E" w14:textId="3D360921" w:rsidR="007526E7" w:rsidRPr="005E59B2" w:rsidRDefault="000C56C3" w:rsidP="007526E7">
            <w:pPr>
              <w:spacing w:before="240" w:after="240"/>
              <w:jc w:val="center"/>
              <w:rPr>
                <w:lang w:val="hu-HU"/>
              </w:rPr>
            </w:pPr>
            <w:r w:rsidRPr="005E59B2">
              <w:rPr>
                <w:lang w:val="hu-HU"/>
              </w:rPr>
              <w:lastRenderedPageBreak/>
              <w:t>Tapasztalatok megosztása</w:t>
            </w:r>
          </w:p>
          <w:p w14:paraId="60134344" w14:textId="77777777" w:rsidR="007526E7" w:rsidRPr="005E59B2" w:rsidRDefault="007526E7" w:rsidP="007526E7">
            <w:pPr>
              <w:spacing w:before="240" w:after="240"/>
              <w:jc w:val="center"/>
              <w:rPr>
                <w:lang w:val="hu-HU"/>
              </w:rPr>
            </w:pPr>
          </w:p>
          <w:p w14:paraId="5E08777F" w14:textId="4EE14CB1" w:rsidR="007526E7" w:rsidRPr="00562902" w:rsidRDefault="007526E7" w:rsidP="007526E7">
            <w:pPr>
              <w:spacing w:before="240" w:after="240"/>
              <w:jc w:val="center"/>
            </w:pPr>
            <w:r w:rsidRPr="00562902">
              <w:t>Lecture</w:t>
            </w:r>
          </w:p>
          <w:p w14:paraId="05DD1D48" w14:textId="77777777" w:rsidR="007526E7" w:rsidRPr="00562902" w:rsidRDefault="007526E7" w:rsidP="007526E7">
            <w:pPr>
              <w:spacing w:before="240" w:after="240"/>
              <w:jc w:val="center"/>
            </w:pPr>
          </w:p>
          <w:p w14:paraId="6C8C6214" w14:textId="5F511126" w:rsidR="00065079" w:rsidRPr="00562902" w:rsidRDefault="005A1EBC" w:rsidP="007526E7">
            <w:pPr>
              <w:spacing w:before="240" w:after="240"/>
              <w:jc w:val="center"/>
            </w:pPr>
            <w:proofErr w:type="spellStart"/>
            <w:r w:rsidRPr="00562902">
              <w:t>Kérdés-felelet</w:t>
            </w:r>
            <w:proofErr w:type="spellEnd"/>
          </w:p>
        </w:tc>
      </w:tr>
    </w:tbl>
    <w:p w14:paraId="5E120658" w14:textId="77777777" w:rsidR="005A20C3" w:rsidRPr="00562902" w:rsidRDefault="005A20C3"/>
    <w:p w14:paraId="383DB3D7" w14:textId="77777777" w:rsidR="00542A74" w:rsidRPr="00562902" w:rsidRDefault="00542A74">
      <w:pPr>
        <w:rPr>
          <w:b/>
          <w:smallCaps/>
          <w:szCs w:val="24"/>
        </w:rPr>
      </w:pPr>
    </w:p>
    <w:p w14:paraId="3BB6F1D7" w14:textId="77777777" w:rsidR="009B1C45" w:rsidRPr="00562902" w:rsidRDefault="009B1C45"/>
    <w:sectPr w:rsidR="009B1C45" w:rsidRPr="00562902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791AD" w14:textId="77777777" w:rsidR="002A5AAC" w:rsidRDefault="002A5AAC" w:rsidP="00895E77">
      <w:r>
        <w:separator/>
      </w:r>
    </w:p>
  </w:endnote>
  <w:endnote w:type="continuationSeparator" w:id="0">
    <w:p w14:paraId="73990F42" w14:textId="77777777" w:rsidR="002A5AAC" w:rsidRDefault="002A5AA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CC977" w14:textId="77777777" w:rsidR="005E59B2" w:rsidRDefault="005E59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7F7D" w14:textId="209F0662" w:rsidR="005E59B2" w:rsidRDefault="005E59B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C494C1" wp14:editId="6777051B">
              <wp:simplePos x="0" y="0"/>
              <wp:positionH relativeFrom="column">
                <wp:posOffset>-308610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5124C" w14:textId="77777777" w:rsidR="005E59B2" w:rsidRPr="00665D1C" w:rsidRDefault="005E59B2" w:rsidP="005E59B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B2EF3" w14:textId="77777777" w:rsidR="005E59B2" w:rsidRPr="005B584A" w:rsidRDefault="005E59B2" w:rsidP="005E59B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F251432" w14:textId="77777777" w:rsidR="005E59B2" w:rsidRDefault="005E59B2" w:rsidP="005E59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nU3oniAAAACwEAAA8AAABkcnMvZG93bnJl&#10;di54bWxMj8FOwzAMhu9IvENkJG5bGuhKV5pO0wScJiQ2JLSb13httSapmqzt3p7sBDdb/vT7+/PV&#10;pFs2UO8aaySIeQSMTGlVYyoJ3/v3WQrMeTQKW2tIwpUcrIr7uxwzZUfzRcPOVyyEGJehhNr7LuPc&#10;lTVpdHPbkQm3k+01+rD2FVc9jiFct/wpihKusTHhQ40dbWoqz7uLlvAx4rh+Fm/D9nzaXA/7xefP&#10;VpCUjw/T+hWYp8n/wXDTD+pQBKejvRjlWCthFqdJQMMghAB2I+JFEgM7SnhJl8CLnP/vUPw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nU3on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F95124C" w14:textId="77777777" w:rsidR="005E59B2" w:rsidRPr="00665D1C" w:rsidRDefault="005E59B2" w:rsidP="005E59B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25B2EF3" w14:textId="77777777" w:rsidR="005E59B2" w:rsidRPr="005B584A" w:rsidRDefault="005E59B2" w:rsidP="005E59B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F251432" w14:textId="77777777" w:rsidR="005E59B2" w:rsidRDefault="005E59B2" w:rsidP="005E59B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32046" w14:textId="77777777" w:rsidR="005E59B2" w:rsidRDefault="005E59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7D7F0" w14:textId="77777777" w:rsidR="002A5AAC" w:rsidRDefault="002A5AAC" w:rsidP="00895E77">
      <w:r>
        <w:separator/>
      </w:r>
    </w:p>
  </w:footnote>
  <w:footnote w:type="continuationSeparator" w:id="0">
    <w:p w14:paraId="454ABD73" w14:textId="77777777" w:rsidR="002A5AAC" w:rsidRDefault="002A5AA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5EBE7" w14:textId="77777777" w:rsidR="005E59B2" w:rsidRDefault="005E59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96B87" w14:textId="77777777" w:rsidR="005E59B2" w:rsidRDefault="005E59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3ACA"/>
    <w:rsid w:val="000259C6"/>
    <w:rsid w:val="00040C1A"/>
    <w:rsid w:val="000456E1"/>
    <w:rsid w:val="00050933"/>
    <w:rsid w:val="00065079"/>
    <w:rsid w:val="00075A3E"/>
    <w:rsid w:val="000950D9"/>
    <w:rsid w:val="000A4254"/>
    <w:rsid w:val="000A6D92"/>
    <w:rsid w:val="000B6942"/>
    <w:rsid w:val="000C192C"/>
    <w:rsid w:val="000C56C3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A5AAC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14FD6"/>
    <w:rsid w:val="00426C8E"/>
    <w:rsid w:val="00460CA4"/>
    <w:rsid w:val="00496775"/>
    <w:rsid w:val="004A7206"/>
    <w:rsid w:val="004B1C85"/>
    <w:rsid w:val="004D2329"/>
    <w:rsid w:val="004F1D01"/>
    <w:rsid w:val="004F1D5A"/>
    <w:rsid w:val="004F4AE3"/>
    <w:rsid w:val="00542A74"/>
    <w:rsid w:val="00546BFF"/>
    <w:rsid w:val="00562902"/>
    <w:rsid w:val="00584F11"/>
    <w:rsid w:val="00595696"/>
    <w:rsid w:val="00596D2D"/>
    <w:rsid w:val="005A1EBC"/>
    <w:rsid w:val="005A20C3"/>
    <w:rsid w:val="005A6941"/>
    <w:rsid w:val="005C23AD"/>
    <w:rsid w:val="005C448D"/>
    <w:rsid w:val="005D3BF1"/>
    <w:rsid w:val="005E59B2"/>
    <w:rsid w:val="00606462"/>
    <w:rsid w:val="00615111"/>
    <w:rsid w:val="00622032"/>
    <w:rsid w:val="006513F6"/>
    <w:rsid w:val="00654440"/>
    <w:rsid w:val="006A0B59"/>
    <w:rsid w:val="006F771D"/>
    <w:rsid w:val="0070601F"/>
    <w:rsid w:val="0071059B"/>
    <w:rsid w:val="00717FAB"/>
    <w:rsid w:val="007526E7"/>
    <w:rsid w:val="0078080B"/>
    <w:rsid w:val="00791269"/>
    <w:rsid w:val="007C30FA"/>
    <w:rsid w:val="007D326B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06142"/>
    <w:rsid w:val="00930CF3"/>
    <w:rsid w:val="009A405D"/>
    <w:rsid w:val="009A5348"/>
    <w:rsid w:val="009B1C45"/>
    <w:rsid w:val="009D3288"/>
    <w:rsid w:val="009F5937"/>
    <w:rsid w:val="00A25956"/>
    <w:rsid w:val="00A310EB"/>
    <w:rsid w:val="00A90269"/>
    <w:rsid w:val="00A965F5"/>
    <w:rsid w:val="00AB352E"/>
    <w:rsid w:val="00AD7B25"/>
    <w:rsid w:val="00AE1090"/>
    <w:rsid w:val="00AE1665"/>
    <w:rsid w:val="00B25E3E"/>
    <w:rsid w:val="00B552C5"/>
    <w:rsid w:val="00B641DC"/>
    <w:rsid w:val="00BC48D3"/>
    <w:rsid w:val="00C13A72"/>
    <w:rsid w:val="00C53DAD"/>
    <w:rsid w:val="00C57BBD"/>
    <w:rsid w:val="00C641DA"/>
    <w:rsid w:val="00C92BB6"/>
    <w:rsid w:val="00CA69DC"/>
    <w:rsid w:val="00CD588D"/>
    <w:rsid w:val="00CE5F21"/>
    <w:rsid w:val="00CF6CC0"/>
    <w:rsid w:val="00D01BA2"/>
    <w:rsid w:val="00D03035"/>
    <w:rsid w:val="00D808CB"/>
    <w:rsid w:val="00D82D16"/>
    <w:rsid w:val="00DA0A93"/>
    <w:rsid w:val="00DA4D01"/>
    <w:rsid w:val="00DB30DC"/>
    <w:rsid w:val="00DF3F01"/>
    <w:rsid w:val="00E05E6F"/>
    <w:rsid w:val="00E30B78"/>
    <w:rsid w:val="00E41181"/>
    <w:rsid w:val="00E5450C"/>
    <w:rsid w:val="00E55B84"/>
    <w:rsid w:val="00E96FC9"/>
    <w:rsid w:val="00ED3E53"/>
    <w:rsid w:val="00EF49AD"/>
    <w:rsid w:val="00F05BD7"/>
    <w:rsid w:val="00F56CEA"/>
    <w:rsid w:val="00F6664C"/>
    <w:rsid w:val="00FF07F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023A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3ACA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023ACA"/>
  </w:style>
  <w:style w:type="character" w:styleId="Hipercze">
    <w:name w:val="Hyperlink"/>
    <w:basedOn w:val="Domylnaczcionkaakapitu"/>
    <w:uiPriority w:val="99"/>
    <w:unhideWhenUsed/>
    <w:rsid w:val="005E59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4B1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C8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023A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3ACA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023ACA"/>
  </w:style>
  <w:style w:type="character" w:styleId="Hipercze">
    <w:name w:val="Hyperlink"/>
    <w:basedOn w:val="Domylnaczcionkaakapitu"/>
    <w:uiPriority w:val="99"/>
    <w:unhideWhenUsed/>
    <w:rsid w:val="005E5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2023-06-04T13:24:00Z</dcterms:created>
  <dcterms:modified xsi:type="dcterms:W3CDTF">2023-10-05T07:25:00Z</dcterms:modified>
</cp:coreProperties>
</file>