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3162F3" w:rsidRDefault="00730F0B" w:rsidP="00895E77">
      <w:pPr>
        <w:shd w:val="clear" w:color="auto" w:fill="FFE599"/>
        <w:jc w:val="center"/>
        <w:outlineLvl w:val="0"/>
        <w:rPr>
          <w:b/>
          <w:color w:val="auto"/>
          <w:szCs w:val="24"/>
          <w:lang w:val="en-US"/>
        </w:rPr>
      </w:pPr>
      <w:r w:rsidRPr="003162F3">
        <w:rPr>
          <w:b/>
          <w:color w:val="auto"/>
          <w:szCs w:val="24"/>
          <w:lang w:val="en-US"/>
        </w:rPr>
        <w:t>DERS PLANI</w:t>
      </w:r>
    </w:p>
    <w:p w:rsidR="00730960" w:rsidRPr="00730960" w:rsidRDefault="00730960" w:rsidP="0073096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szCs w:val="24"/>
          <w:lang w:val="tr-TR" w:eastAsia="tr-TR"/>
        </w:rPr>
      </w:pPr>
      <w:r w:rsidRPr="003162F3">
        <w:rPr>
          <w:rFonts w:ascii="inherit" w:hAnsi="inherit" w:cs="Courier New"/>
          <w:color w:val="202124"/>
          <w:szCs w:val="24"/>
          <w:lang w:val="tr-TR" w:eastAsia="tr-TR"/>
        </w:rPr>
        <w:t>Çoklu görev - zamanlanmış Görevlerin yürütülmesine yardımcı olur veya engel olur mu?</w:t>
      </w:r>
    </w:p>
    <w:p w:rsidR="00895E77" w:rsidRPr="003162F3" w:rsidRDefault="00895E77" w:rsidP="00895E77">
      <w:pPr>
        <w:jc w:val="center"/>
        <w:outlineLvl w:val="0"/>
        <w:rPr>
          <w:b/>
          <w:color w:val="auto"/>
          <w:szCs w:val="24"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B9645D" w:rsidRPr="003162F3" w:rsidTr="003162F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3162F3" w:rsidRDefault="00730F0B" w:rsidP="005C0365">
            <w:pPr>
              <w:spacing w:before="120" w:after="120"/>
              <w:rPr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b/>
                <w:color w:val="auto"/>
                <w:szCs w:val="24"/>
                <w:lang w:val="en-US"/>
              </w:rPr>
              <w:t>Yaş</w:t>
            </w:r>
            <w:proofErr w:type="spellEnd"/>
            <w:r w:rsidRPr="003162F3">
              <w:rPr>
                <w:b/>
                <w:color w:val="auto"/>
                <w:szCs w:val="24"/>
                <w:lang w:val="en-US"/>
              </w:rPr>
              <w:t xml:space="preserve"> / </w:t>
            </w:r>
            <w:proofErr w:type="spellStart"/>
            <w:r w:rsidRPr="003162F3">
              <w:rPr>
                <w:b/>
                <w:color w:val="auto"/>
                <w:szCs w:val="24"/>
                <w:lang w:val="en-US"/>
              </w:rPr>
              <w:t>Seviye</w:t>
            </w:r>
            <w:proofErr w:type="spellEnd"/>
            <w:r w:rsidRPr="003162F3">
              <w:rPr>
                <w:b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3162F3" w:rsidRDefault="00730960" w:rsidP="005C0365">
            <w:pPr>
              <w:spacing w:before="120" w:after="120"/>
              <w:rPr>
                <w:color w:val="auto"/>
                <w:szCs w:val="24"/>
                <w:lang w:val="en-US"/>
              </w:rPr>
            </w:pPr>
            <w:r w:rsidRPr="003162F3">
              <w:rPr>
                <w:szCs w:val="24"/>
              </w:rPr>
              <w:t xml:space="preserve">14-19 </w:t>
            </w:r>
            <w:proofErr w:type="spellStart"/>
            <w:r w:rsidRPr="003162F3">
              <w:rPr>
                <w:szCs w:val="24"/>
              </w:rPr>
              <w:t>yaş</w:t>
            </w:r>
            <w:proofErr w:type="spellEnd"/>
          </w:p>
        </w:tc>
      </w:tr>
      <w:tr w:rsidR="00B9645D" w:rsidRPr="003162F3" w:rsidTr="003162F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3162F3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Ders</w:t>
            </w:r>
            <w:proofErr w:type="spellEnd"/>
            <w:r w:rsidR="00895E77" w:rsidRPr="003162F3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3162F3" w:rsidRDefault="00730960" w:rsidP="005C0365">
            <w:pPr>
              <w:spacing w:before="120" w:after="120"/>
              <w:rPr>
                <w:color w:val="auto"/>
                <w:szCs w:val="24"/>
                <w:lang w:val="en-US"/>
              </w:rPr>
            </w:pPr>
            <w:r w:rsidRPr="003162F3">
              <w:rPr>
                <w:color w:val="auto"/>
                <w:szCs w:val="24"/>
                <w:lang w:val="en-US"/>
              </w:rPr>
              <w:t>BİYOLOJİ</w:t>
            </w:r>
          </w:p>
        </w:tc>
      </w:tr>
      <w:tr w:rsidR="00B9645D" w:rsidRPr="003162F3" w:rsidTr="003162F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3162F3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İlişkili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olduğu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dersler</w:t>
            </w:r>
            <w:proofErr w:type="spellEnd"/>
            <w:r w:rsidR="00895E77" w:rsidRPr="003162F3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3162F3" w:rsidRDefault="00730960" w:rsidP="005C0365">
            <w:pPr>
              <w:spacing w:before="120" w:after="120"/>
              <w:rPr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color w:val="auto"/>
                <w:szCs w:val="24"/>
                <w:lang w:val="en-US"/>
              </w:rPr>
              <w:t>Meslekler</w:t>
            </w:r>
            <w:proofErr w:type="spellEnd"/>
            <w:r w:rsidRPr="003162F3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color w:val="auto"/>
                <w:szCs w:val="24"/>
                <w:lang w:val="en-US"/>
              </w:rPr>
              <w:t>dahil</w:t>
            </w:r>
            <w:proofErr w:type="spellEnd"/>
            <w:r w:rsidRPr="003162F3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color w:val="auto"/>
                <w:szCs w:val="24"/>
                <w:lang w:val="en-US"/>
              </w:rPr>
              <w:t>tüm</w:t>
            </w:r>
            <w:proofErr w:type="spellEnd"/>
            <w:r w:rsidRPr="003162F3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color w:val="auto"/>
                <w:szCs w:val="24"/>
                <w:lang w:val="en-US"/>
              </w:rPr>
              <w:t>dersler</w:t>
            </w:r>
            <w:proofErr w:type="spellEnd"/>
          </w:p>
        </w:tc>
      </w:tr>
      <w:tr w:rsidR="00B9645D" w:rsidRPr="00F73545" w:rsidTr="003162F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3162F3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Amaçlar</w:t>
            </w:r>
            <w:proofErr w:type="spellEnd"/>
            <w:r w:rsidR="00895E77" w:rsidRPr="003162F3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30960" w:rsidRPr="003162F3" w:rsidRDefault="00730960" w:rsidP="00730960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1. Öğrencileri çoklu görev (çoklu görev) ve geçiş görevi (görevler arasında geçiş yapma) kavramlarıyla tanıştırmak.</w:t>
            </w:r>
          </w:p>
          <w:p w:rsidR="00730960" w:rsidRPr="003162F3" w:rsidRDefault="00730960" w:rsidP="00730960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2. Çoklu görevin işe yaramadığını öğrencilere kanıtlamak (test sonuçları, çoklu görev testleri).</w:t>
            </w:r>
          </w:p>
          <w:p w:rsidR="00730960" w:rsidRPr="003162F3" w:rsidRDefault="00730960" w:rsidP="00730960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3. Çoklu görevin ürettiği sorunların bir göstergesi (aslında geçiş görevi).</w:t>
            </w:r>
          </w:p>
          <w:p w:rsidR="005A6941" w:rsidRPr="00F73545" w:rsidRDefault="005A6941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</w:p>
        </w:tc>
      </w:tr>
      <w:tr w:rsidR="00730960" w:rsidRPr="003162F3" w:rsidTr="003162F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730960" w:rsidRPr="003162F3" w:rsidRDefault="00730960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Her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grup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için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önerilen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öğrenci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sayısı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30960" w:rsidRPr="003162F3" w:rsidRDefault="00730960" w:rsidP="00313E1A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Bireysel çalışma.</w:t>
            </w:r>
          </w:p>
        </w:tc>
      </w:tr>
      <w:tr w:rsidR="00730960" w:rsidRPr="003162F3" w:rsidTr="003162F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730960" w:rsidRPr="003162F3" w:rsidRDefault="00730960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Süre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30960" w:rsidRPr="003162F3" w:rsidRDefault="00730960" w:rsidP="00313E1A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20 Dakika</w:t>
            </w:r>
          </w:p>
        </w:tc>
      </w:tr>
      <w:tr w:rsidR="00730960" w:rsidRPr="003162F3" w:rsidTr="003162F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730960" w:rsidRPr="003162F3" w:rsidRDefault="00730960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Materyaller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30960" w:rsidRPr="003162F3" w:rsidRDefault="00730960" w:rsidP="00313E1A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Medya panosu, bilgisayar, hoparlörler, kağıtlar, kalemler.</w:t>
            </w:r>
          </w:p>
        </w:tc>
      </w:tr>
      <w:tr w:rsidR="00730960" w:rsidRPr="003162F3" w:rsidTr="003162F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730960" w:rsidRPr="003162F3" w:rsidRDefault="00730960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Beceriler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30960" w:rsidRPr="003162F3" w:rsidRDefault="00730960" w:rsidP="00313E1A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Sosyal yeterlilik. Öğrenme yeteneği.</w:t>
            </w:r>
          </w:p>
        </w:tc>
      </w:tr>
      <w:tr w:rsidR="00730960" w:rsidRPr="003162F3" w:rsidTr="003162F3">
        <w:trPr>
          <w:gridAfter w:val="1"/>
          <w:wAfter w:w="328" w:type="dxa"/>
          <w:trHeight w:val="1068"/>
        </w:trPr>
        <w:tc>
          <w:tcPr>
            <w:tcW w:w="4186" w:type="dxa"/>
            <w:gridSpan w:val="2"/>
            <w:shd w:val="clear" w:color="auto" w:fill="FFE599"/>
          </w:tcPr>
          <w:p w:rsidR="00730960" w:rsidRPr="003162F3" w:rsidRDefault="00730960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lastRenderedPageBreak/>
              <w:t>Varsa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hazırlık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aktiviteleri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30960" w:rsidRPr="003162F3" w:rsidRDefault="00730960" w:rsidP="00730960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Öğrencilere çoklu görev (çoklu görev) ve geçiş görevi (görevler arasında geçiş yapma) kavramlarını tanıtın.</w:t>
            </w:r>
          </w:p>
          <w:p w:rsidR="00730960" w:rsidRPr="003162F3" w:rsidRDefault="00730960" w:rsidP="00313E1A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</w:p>
        </w:tc>
      </w:tr>
      <w:tr w:rsidR="00B9645D" w:rsidRPr="003162F3" w:rsidTr="003162F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3162F3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Beklenen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sonuçlar</w:t>
            </w:r>
            <w:proofErr w:type="spellEnd"/>
            <w:r w:rsidR="00895E77" w:rsidRPr="003162F3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30960" w:rsidRPr="003162F3" w:rsidRDefault="00730960" w:rsidP="00730960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Öğrenciler çoklu görevin ne olduğunu anlarlar. Çoklu görevin olumsuz yan etkilerini gösterebilir.</w:t>
            </w:r>
          </w:p>
          <w:p w:rsidR="00730960" w:rsidRPr="003162F3" w:rsidRDefault="00730960" w:rsidP="00730960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Çoklu görevin maliyetini anlıyorum. Öğrenme ve konsantrasyon gerektiren diğer etkinlikler sırasında çoklu görevleri kademeli olarak ortadan kaldırır. Sinir sisteminin sağlığını önemsiyor.</w:t>
            </w:r>
          </w:p>
          <w:p w:rsidR="009B1C45" w:rsidRPr="003162F3" w:rsidRDefault="009B1C45" w:rsidP="00747820">
            <w:pPr>
              <w:spacing w:before="120" w:after="120"/>
              <w:rPr>
                <w:color w:val="auto"/>
                <w:szCs w:val="24"/>
                <w:lang w:val="en-US"/>
              </w:rPr>
            </w:pPr>
          </w:p>
        </w:tc>
      </w:tr>
      <w:tr w:rsidR="00B9645D" w:rsidRPr="003162F3" w:rsidTr="003162F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A2FFF" w:rsidRPr="003162F3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Karşılaşılabilecek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güçlükler</w:t>
            </w:r>
            <w:proofErr w:type="spellEnd"/>
            <w:r w:rsidR="00895E77" w:rsidRPr="003162F3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30960" w:rsidRPr="003162F3" w:rsidRDefault="00730960" w:rsidP="00730960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Uzun süredir devam eden alışkanlıkları kırmada zorluk.</w:t>
            </w:r>
          </w:p>
          <w:p w:rsidR="00895E77" w:rsidRPr="003162F3" w:rsidRDefault="00895E77" w:rsidP="00F16C52">
            <w:pPr>
              <w:spacing w:before="120" w:after="120"/>
              <w:rPr>
                <w:color w:val="auto"/>
                <w:szCs w:val="24"/>
                <w:lang w:val="en-US"/>
              </w:rPr>
            </w:pPr>
          </w:p>
        </w:tc>
      </w:tr>
      <w:tr w:rsidR="00B9645D" w:rsidRPr="00F73545" w:rsidTr="003162F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3162F3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Varsa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takip</w:t>
            </w:r>
            <w:proofErr w:type="spellEnd"/>
            <w:r w:rsidRPr="003162F3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3162F3">
              <w:rPr>
                <w:b/>
                <w:bCs/>
                <w:color w:val="auto"/>
                <w:szCs w:val="24"/>
                <w:lang w:val="en-US"/>
              </w:rPr>
              <w:t>süreci</w:t>
            </w:r>
            <w:proofErr w:type="spellEnd"/>
            <w:r w:rsidR="00895E77" w:rsidRPr="003162F3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30960" w:rsidRPr="003162F3" w:rsidRDefault="00730960" w:rsidP="00730960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Çoklu görevi azaltmak için egzersizler. Konsantrasyonun korunmasını engelleyen faktörlerin ortadan kaldırılması.</w:t>
            </w:r>
          </w:p>
          <w:p w:rsidR="00717FAB" w:rsidRPr="00F73545" w:rsidRDefault="00717FAB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</w:p>
        </w:tc>
      </w:tr>
      <w:tr w:rsidR="00B9645D" w:rsidRPr="003162F3" w:rsidTr="00316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895E77" w:rsidRPr="003162F3" w:rsidRDefault="00730F0B" w:rsidP="005C0365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</w:rPr>
            </w:pPr>
            <w:r w:rsidRPr="003162F3">
              <w:rPr>
                <w:b/>
                <w:smallCaps/>
                <w:color w:val="auto"/>
                <w:szCs w:val="24"/>
              </w:rPr>
              <w:t>SÜRE</w:t>
            </w:r>
          </w:p>
        </w:tc>
        <w:tc>
          <w:tcPr>
            <w:tcW w:w="7794" w:type="dxa"/>
            <w:gridSpan w:val="2"/>
            <w:shd w:val="clear" w:color="auto" w:fill="FFE599"/>
          </w:tcPr>
          <w:p w:rsidR="00895E77" w:rsidRPr="003162F3" w:rsidRDefault="00730F0B" w:rsidP="00730F0B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</w:rPr>
            </w:pPr>
            <w:r w:rsidRPr="003162F3">
              <w:rPr>
                <w:b/>
                <w:smallCaps/>
                <w:color w:val="auto"/>
                <w:szCs w:val="24"/>
              </w:rPr>
              <w:t>YÖNTEM</w:t>
            </w:r>
          </w:p>
        </w:tc>
        <w:tc>
          <w:tcPr>
            <w:tcW w:w="5530" w:type="dxa"/>
            <w:gridSpan w:val="2"/>
            <w:shd w:val="clear" w:color="auto" w:fill="FFE599"/>
          </w:tcPr>
          <w:p w:rsidR="00895E77" w:rsidRPr="003162F3" w:rsidRDefault="00895E77" w:rsidP="005C0365">
            <w:pPr>
              <w:spacing w:before="240" w:after="240"/>
              <w:jc w:val="center"/>
              <w:rPr>
                <w:b/>
                <w:color w:val="auto"/>
                <w:szCs w:val="24"/>
              </w:rPr>
            </w:pPr>
            <w:r w:rsidRPr="003162F3">
              <w:rPr>
                <w:b/>
                <w:color w:val="auto"/>
                <w:szCs w:val="24"/>
              </w:rPr>
              <w:t>ME</w:t>
            </w:r>
            <w:r w:rsidR="00730F0B" w:rsidRPr="003162F3">
              <w:rPr>
                <w:b/>
                <w:color w:val="auto"/>
                <w:szCs w:val="24"/>
              </w:rPr>
              <w:t>TOD</w:t>
            </w:r>
          </w:p>
        </w:tc>
      </w:tr>
      <w:tr w:rsidR="00730960" w:rsidRPr="003162F3" w:rsidTr="00316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730960" w:rsidRPr="003162F3" w:rsidRDefault="00730960" w:rsidP="00FF07E0">
            <w:pPr>
              <w:jc w:val="center"/>
              <w:rPr>
                <w:b/>
                <w:smallCaps/>
                <w:szCs w:val="24"/>
                <w:lang w:val="pl-PL"/>
              </w:rPr>
            </w:pPr>
            <w:r w:rsidRPr="003162F3">
              <w:rPr>
                <w:b/>
                <w:smallCaps/>
                <w:szCs w:val="24"/>
                <w:lang w:val="pl-PL"/>
              </w:rPr>
              <w:lastRenderedPageBreak/>
              <w:t>5’</w:t>
            </w:r>
          </w:p>
        </w:tc>
        <w:tc>
          <w:tcPr>
            <w:tcW w:w="7794" w:type="dxa"/>
            <w:gridSpan w:val="2"/>
            <w:shd w:val="clear" w:color="auto" w:fill="auto"/>
          </w:tcPr>
          <w:p w:rsidR="00730960" w:rsidRPr="00F73545" w:rsidRDefault="00730960" w:rsidP="009B1C45">
            <w:pPr>
              <w:rPr>
                <w:b/>
                <w:smallCaps/>
                <w:color w:val="auto"/>
                <w:szCs w:val="24"/>
                <w:lang w:val="pl-PL"/>
              </w:rPr>
            </w:pPr>
          </w:p>
          <w:p w:rsidR="00730960" w:rsidRPr="003162F3" w:rsidRDefault="00730960" w:rsidP="00730960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Giriş: öğretmen, öğrencilerin çoklu görev hakkında ne bildiklerini, çoklu görevi kullanıp kullanmadıklarını (hangi durumlarda) ve bunun iyi bir çözüm olup olmadığını kontrol eder.</w:t>
            </w:r>
          </w:p>
          <w:p w:rsidR="00730960" w:rsidRPr="00F73545" w:rsidRDefault="00730960" w:rsidP="00AD3211">
            <w:pPr>
              <w:rPr>
                <w:b/>
                <w:smallCaps/>
                <w:color w:val="auto"/>
                <w:szCs w:val="24"/>
                <w:lang w:val="pl-PL"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:rsidR="00730960" w:rsidRPr="00F73545" w:rsidRDefault="00730960" w:rsidP="009A405D">
            <w:pPr>
              <w:rPr>
                <w:color w:val="auto"/>
                <w:szCs w:val="24"/>
                <w:lang w:val="pl-PL"/>
              </w:rPr>
            </w:pPr>
          </w:p>
          <w:p w:rsidR="00730960" w:rsidRPr="003162F3" w:rsidRDefault="00730960" w:rsidP="00A943C4">
            <w:pPr>
              <w:rPr>
                <w:color w:val="auto"/>
                <w:szCs w:val="24"/>
                <w:lang w:val="tr-TR"/>
              </w:rPr>
            </w:pPr>
          </w:p>
          <w:p w:rsidR="00730960" w:rsidRPr="003162F3" w:rsidRDefault="00730960" w:rsidP="00A943C4">
            <w:pPr>
              <w:rPr>
                <w:color w:val="auto"/>
                <w:szCs w:val="24"/>
                <w:lang w:val="tr-TR"/>
              </w:rPr>
            </w:pPr>
          </w:p>
          <w:p w:rsidR="00730960" w:rsidRPr="003162F3" w:rsidRDefault="00730960" w:rsidP="00A943C4">
            <w:pPr>
              <w:rPr>
                <w:color w:val="auto"/>
                <w:szCs w:val="24"/>
                <w:lang w:val="tr-TR"/>
              </w:rPr>
            </w:pPr>
          </w:p>
          <w:p w:rsidR="00730960" w:rsidRPr="003162F3" w:rsidRDefault="003162F3" w:rsidP="00A943C4">
            <w:pPr>
              <w:rPr>
                <w:color w:val="auto"/>
                <w:szCs w:val="24"/>
                <w:lang w:val="tr-TR"/>
              </w:rPr>
            </w:pPr>
            <w:r w:rsidRPr="003162F3">
              <w:rPr>
                <w:color w:val="auto"/>
                <w:szCs w:val="24"/>
                <w:lang w:val="tr-TR"/>
              </w:rPr>
              <w:t xml:space="preserve"> Tartışma</w:t>
            </w:r>
          </w:p>
          <w:p w:rsidR="00730960" w:rsidRPr="003162F3" w:rsidRDefault="00730960" w:rsidP="00A943C4">
            <w:pPr>
              <w:rPr>
                <w:color w:val="auto"/>
                <w:szCs w:val="24"/>
                <w:lang w:val="tr-TR"/>
              </w:rPr>
            </w:pPr>
          </w:p>
          <w:p w:rsidR="00730960" w:rsidRPr="003162F3" w:rsidRDefault="00730960" w:rsidP="00A943C4">
            <w:pPr>
              <w:rPr>
                <w:color w:val="auto"/>
                <w:szCs w:val="24"/>
                <w:lang w:val="tr-TR"/>
              </w:rPr>
            </w:pPr>
          </w:p>
          <w:p w:rsidR="00730960" w:rsidRPr="003162F3" w:rsidRDefault="00730960" w:rsidP="00A943C4">
            <w:pPr>
              <w:rPr>
                <w:color w:val="auto"/>
                <w:szCs w:val="24"/>
                <w:lang w:val="tr-TR"/>
              </w:rPr>
            </w:pPr>
          </w:p>
          <w:p w:rsidR="00730960" w:rsidRPr="003162F3" w:rsidRDefault="00730960" w:rsidP="00A943C4">
            <w:pPr>
              <w:rPr>
                <w:color w:val="auto"/>
                <w:szCs w:val="24"/>
              </w:rPr>
            </w:pPr>
          </w:p>
        </w:tc>
      </w:tr>
      <w:tr w:rsidR="00730960" w:rsidRPr="003162F3" w:rsidTr="00316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60" w:rsidRPr="003162F3" w:rsidRDefault="00730960" w:rsidP="00FF07E0">
            <w:pPr>
              <w:jc w:val="center"/>
              <w:rPr>
                <w:b/>
                <w:smallCaps/>
                <w:szCs w:val="24"/>
                <w:lang w:val="pl-PL"/>
              </w:rPr>
            </w:pPr>
            <w:r w:rsidRPr="003162F3">
              <w:rPr>
                <w:b/>
                <w:smallCaps/>
                <w:szCs w:val="24"/>
                <w:lang w:val="pl-PL"/>
              </w:rPr>
              <w:t>2’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0" w:rsidRPr="003162F3" w:rsidRDefault="00730960" w:rsidP="00730960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Öğretmen, aynı anda birkaç eylem gerçekleştirdiğinizde beyinde neler olduğunu açıklar. Görev değiştirme (görevler arasında geçiş yapma) kavramını tanıtır.</w:t>
            </w:r>
          </w:p>
          <w:p w:rsidR="00730960" w:rsidRPr="003162F3" w:rsidRDefault="00730960" w:rsidP="009B1C45">
            <w:pPr>
              <w:spacing w:before="120"/>
              <w:rPr>
                <w:color w:val="auto"/>
                <w:szCs w:val="24"/>
                <w:lang w:val="en-US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0" w:rsidRPr="003162F3" w:rsidRDefault="00730960" w:rsidP="00C13A72">
            <w:pPr>
              <w:jc w:val="center"/>
              <w:rPr>
                <w:color w:val="auto"/>
                <w:szCs w:val="24"/>
              </w:rPr>
            </w:pPr>
          </w:p>
          <w:p w:rsidR="00730960" w:rsidRPr="003162F3" w:rsidRDefault="00730960" w:rsidP="006D4F85">
            <w:pPr>
              <w:spacing w:before="240" w:after="240"/>
              <w:jc w:val="center"/>
              <w:rPr>
                <w:color w:val="auto"/>
                <w:szCs w:val="24"/>
              </w:rPr>
            </w:pPr>
          </w:p>
          <w:p w:rsidR="00730960" w:rsidRPr="003162F3" w:rsidRDefault="003162F3" w:rsidP="003162F3">
            <w:pPr>
              <w:spacing w:before="240" w:after="240"/>
              <w:rPr>
                <w:color w:val="auto"/>
                <w:szCs w:val="24"/>
              </w:rPr>
            </w:pPr>
            <w:proofErr w:type="spellStart"/>
            <w:r w:rsidRPr="003162F3">
              <w:rPr>
                <w:color w:val="auto"/>
                <w:szCs w:val="24"/>
              </w:rPr>
              <w:t>Konuşma</w:t>
            </w:r>
            <w:proofErr w:type="spellEnd"/>
          </w:p>
        </w:tc>
      </w:tr>
      <w:tr w:rsidR="00730960" w:rsidRPr="00F73545" w:rsidTr="00316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60" w:rsidRPr="003162F3" w:rsidRDefault="00730960" w:rsidP="00FF07E0">
            <w:pPr>
              <w:jc w:val="center"/>
              <w:rPr>
                <w:b/>
                <w:smallCaps/>
                <w:szCs w:val="24"/>
              </w:rPr>
            </w:pPr>
            <w:r w:rsidRPr="003162F3"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AB" w:rsidRPr="003162F3" w:rsidRDefault="00B30DAB" w:rsidP="00B30DAB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1. Çoklu görev testleri:</w:t>
            </w:r>
          </w:p>
          <w:p w:rsidR="00B30DAB" w:rsidRPr="003162F3" w:rsidRDefault="00B30DAB" w:rsidP="00B30DAB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2. Harfleri ve sayıları zamanında yazmak (sırayla ve dönüşümlü olarak).</w:t>
            </w:r>
          </w:p>
          <w:p w:rsidR="00B30DAB" w:rsidRPr="003162F3" w:rsidRDefault="00B30DAB" w:rsidP="00B30DAB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3. Ekranda aynı anda görünen 2 farklı geometrik figürün sayılması (filmden alınmıştır).</w:t>
            </w:r>
          </w:p>
          <w:p w:rsidR="00B30DAB" w:rsidRPr="003162F3" w:rsidRDefault="00B30DAB" w:rsidP="00B30DAB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4. Aynı anda çalınan 2 farklı kısa kaydı dinleyin.</w:t>
            </w:r>
          </w:p>
          <w:p w:rsidR="00730960" w:rsidRPr="00F73545" w:rsidRDefault="00730960" w:rsidP="009B1C45">
            <w:pPr>
              <w:spacing w:after="120"/>
              <w:rPr>
                <w:b/>
                <w:smallCaps/>
                <w:color w:val="auto"/>
                <w:szCs w:val="24"/>
                <w:lang w:val="tr-TR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0" w:rsidRPr="00F73545" w:rsidRDefault="00730960" w:rsidP="006D4F85">
            <w:pPr>
              <w:spacing w:before="240" w:after="240"/>
              <w:jc w:val="center"/>
              <w:rPr>
                <w:color w:val="auto"/>
                <w:szCs w:val="24"/>
                <w:lang w:val="tr-TR"/>
              </w:rPr>
            </w:pPr>
          </w:p>
          <w:p w:rsidR="003162F3" w:rsidRPr="003162F3" w:rsidRDefault="003162F3" w:rsidP="003162F3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Çoklu görev egzersizi; multimedya kartı, dizüstü bilgisayar, hoparlörler, kağıtlar, kalemler</w:t>
            </w:r>
          </w:p>
          <w:p w:rsidR="00730960" w:rsidRPr="00F73545" w:rsidRDefault="00730960" w:rsidP="006D4F85">
            <w:pPr>
              <w:spacing w:before="240" w:after="240"/>
              <w:jc w:val="center"/>
              <w:rPr>
                <w:b/>
                <w:color w:val="auto"/>
                <w:szCs w:val="24"/>
                <w:lang w:val="tr-TR"/>
              </w:rPr>
            </w:pPr>
          </w:p>
        </w:tc>
      </w:tr>
      <w:tr w:rsidR="00730960" w:rsidRPr="00F73545" w:rsidTr="00316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0" w:rsidRPr="003162F3" w:rsidRDefault="00730960" w:rsidP="00FF07E0">
            <w:pPr>
              <w:spacing w:before="240" w:after="240"/>
              <w:jc w:val="center"/>
              <w:rPr>
                <w:b/>
                <w:smallCaps/>
                <w:szCs w:val="24"/>
                <w:lang w:val="pl-PL"/>
              </w:rPr>
            </w:pPr>
            <w:r w:rsidRPr="003162F3">
              <w:rPr>
                <w:b/>
                <w:smallCaps/>
                <w:szCs w:val="24"/>
                <w:lang w:val="pl-PL"/>
              </w:rPr>
              <w:t xml:space="preserve">3’ 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AB" w:rsidRPr="003162F3" w:rsidRDefault="00B30DAB" w:rsidP="00B30DAB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Çoklu Görev Testi: tekerlekten seken topları sayma (videoya göre)</w:t>
            </w:r>
          </w:p>
          <w:p w:rsidR="00B30DAB" w:rsidRPr="003162F3" w:rsidRDefault="00B30DAB" w:rsidP="00B30DAB">
            <w:pPr>
              <w:pStyle w:val="HTML-wstpniesformatowany"/>
              <w:shd w:val="clear" w:color="auto" w:fill="F8F9FA"/>
              <w:spacing w:line="540" w:lineRule="atLeast"/>
              <w:rPr>
                <w:rStyle w:val="y2qfc"/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lastRenderedPageBreak/>
              <w:t>Hiç kimse fark etti mi: bir dinozor, bir dairenin Şeklindeki bir değişiklik, "gülümseyen" bir top?</w:t>
            </w:r>
          </w:p>
          <w:p w:rsidR="00B30DAB" w:rsidRPr="003162F3" w:rsidRDefault="00B30DAB" w:rsidP="00B30DAB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</w:p>
          <w:p w:rsidR="00730960" w:rsidRPr="00F73545" w:rsidRDefault="00730960" w:rsidP="009B1C45">
            <w:pPr>
              <w:spacing w:after="120"/>
              <w:rPr>
                <w:b/>
                <w:smallCaps/>
                <w:color w:val="auto"/>
                <w:szCs w:val="24"/>
                <w:lang w:val="tr-TR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F3" w:rsidRPr="003162F3" w:rsidRDefault="003162F3" w:rsidP="003162F3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lastRenderedPageBreak/>
              <w:t xml:space="preserve">Çoklu görev egzersizi; multimedya kartı, dizüstü </w:t>
            </w: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lastRenderedPageBreak/>
              <w:t>bilgisayar, hoparlörler</w:t>
            </w:r>
          </w:p>
          <w:p w:rsidR="00730960" w:rsidRPr="00F73545" w:rsidRDefault="00730960" w:rsidP="006D4F85">
            <w:pPr>
              <w:spacing w:before="240" w:after="240"/>
              <w:jc w:val="center"/>
              <w:rPr>
                <w:color w:val="auto"/>
                <w:szCs w:val="24"/>
                <w:lang w:val="tr-TR"/>
              </w:rPr>
            </w:pPr>
          </w:p>
        </w:tc>
      </w:tr>
      <w:tr w:rsidR="00730960" w:rsidRPr="003162F3" w:rsidTr="00316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960" w:rsidRPr="003162F3" w:rsidRDefault="00730960" w:rsidP="00FF07E0">
            <w:pPr>
              <w:jc w:val="center"/>
              <w:rPr>
                <w:b/>
                <w:szCs w:val="24"/>
              </w:rPr>
            </w:pPr>
            <w:r w:rsidRPr="003162F3">
              <w:rPr>
                <w:b/>
                <w:szCs w:val="24"/>
              </w:rPr>
              <w:lastRenderedPageBreak/>
              <w:t xml:space="preserve">5’ 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60" w:rsidRPr="003162F3" w:rsidRDefault="003162F3" w:rsidP="009B1C45">
            <w:pPr>
              <w:spacing w:after="120"/>
              <w:rPr>
                <w:b/>
                <w:smallCaps/>
                <w:color w:val="auto"/>
                <w:szCs w:val="24"/>
              </w:rPr>
            </w:pP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Öğrencilerle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aynı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anda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birkaç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görevi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birlikte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yapmanın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yan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etkilerinin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bir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listesini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yapmak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.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Öğrencileri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,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öğrenme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gibi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odaklanmayı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gerektiren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çok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görevli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,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karmaşık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etkinlikleri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ortadan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kaldırmaya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teşvik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 xml:space="preserve"> </w:t>
            </w:r>
            <w:proofErr w:type="spellStart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edin</w:t>
            </w:r>
            <w:proofErr w:type="spellEnd"/>
            <w:r w:rsidRPr="003162F3">
              <w:rPr>
                <w:rStyle w:val="y2qfc"/>
                <w:rFonts w:ascii="inherit" w:hAnsi="inherit"/>
                <w:color w:val="202124"/>
                <w:szCs w:val="24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F3" w:rsidRPr="003162F3" w:rsidRDefault="003162F3" w:rsidP="003162F3">
            <w:pPr>
              <w:pStyle w:val="HTML-wstpniesformatowany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3162F3">
              <w:rPr>
                <w:rStyle w:val="y2qfc"/>
                <w:rFonts w:ascii="inherit" w:hAnsi="inherit"/>
                <w:color w:val="202124"/>
                <w:sz w:val="24"/>
                <w:szCs w:val="24"/>
              </w:rPr>
              <w:t>Tartışma, multimedya panosu.</w:t>
            </w:r>
          </w:p>
          <w:p w:rsidR="00730960" w:rsidRPr="003162F3" w:rsidRDefault="00730960" w:rsidP="006D4F85">
            <w:pPr>
              <w:spacing w:before="240" w:after="240"/>
              <w:jc w:val="center"/>
              <w:rPr>
                <w:color w:val="auto"/>
                <w:szCs w:val="24"/>
              </w:rPr>
            </w:pPr>
          </w:p>
        </w:tc>
      </w:tr>
    </w:tbl>
    <w:p w:rsidR="005A20C3" w:rsidRPr="003162F3" w:rsidRDefault="005A20C3">
      <w:pPr>
        <w:rPr>
          <w:color w:val="auto"/>
          <w:szCs w:val="24"/>
        </w:rPr>
      </w:pPr>
    </w:p>
    <w:p w:rsidR="00542A74" w:rsidRPr="003162F3" w:rsidRDefault="00542A74">
      <w:pPr>
        <w:rPr>
          <w:b/>
          <w:smallCaps/>
          <w:color w:val="auto"/>
          <w:szCs w:val="24"/>
        </w:rPr>
      </w:pPr>
    </w:p>
    <w:p w:rsidR="009B1C45" w:rsidRPr="003162F3" w:rsidRDefault="009B1C45">
      <w:pPr>
        <w:rPr>
          <w:color w:val="auto"/>
          <w:szCs w:val="24"/>
        </w:rPr>
      </w:pPr>
    </w:p>
    <w:sectPr w:rsidR="009B1C45" w:rsidRPr="003162F3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CD" w:rsidRDefault="002A20CD" w:rsidP="00895E77">
      <w:r>
        <w:separator/>
      </w:r>
    </w:p>
  </w:endnote>
  <w:endnote w:type="continuationSeparator" w:id="0">
    <w:p w:rsidR="002A20CD" w:rsidRDefault="002A20CD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45" w:rsidRDefault="00F735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45" w:rsidRDefault="00F73545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56249A" wp14:editId="6EC71BC8">
              <wp:simplePos x="0" y="0"/>
              <wp:positionH relativeFrom="column">
                <wp:posOffset>-327660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545" w:rsidRPr="00665D1C" w:rsidRDefault="00F73545" w:rsidP="00F7354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3545" w:rsidRPr="005B584A" w:rsidRDefault="00F73545" w:rsidP="00F7354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F73545" w:rsidRDefault="00F73545" w:rsidP="00F7354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8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I08IPiAAAACwEAAA8AAABkcnMvZG93bnJl&#10;di54bWxMj8FqwkAQhu+FvsMyhd50s2pCjdmISNuTFKqF4m3NjkkwOxuyaxLfvuup3maYj3++P1uP&#10;pmE9dq62JEFMI2BIhdU1lRJ+Dh+TN2DOK9KqsYQSbuhgnT8/ZSrVdqBv7Pe+ZCGEXKokVN63Keeu&#10;qNAoN7UtUridbWeUD2tXct2pIYSbhs+iKOFG1RQ+VKrFbYXFZX81Ej4HNWzm4r3fXc7b2/EQf/3u&#10;BEr5+jJuVsA8jv4fhrt+UIc8OJ3slbRjjYRJLJKAhmEWCWB3YhHPF8BOEpLlEnie8ccO+R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JI08IP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F73545" w:rsidRPr="00665D1C" w:rsidRDefault="00F73545" w:rsidP="00F7354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F73545" w:rsidRPr="005B584A" w:rsidRDefault="00F73545" w:rsidP="00F7354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F73545" w:rsidRDefault="00F73545" w:rsidP="00F7354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45" w:rsidRDefault="00F73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CD" w:rsidRDefault="002A20CD" w:rsidP="00895E77">
      <w:r>
        <w:separator/>
      </w:r>
    </w:p>
  </w:footnote>
  <w:footnote w:type="continuationSeparator" w:id="0">
    <w:p w:rsidR="002A20CD" w:rsidRDefault="002A20CD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45" w:rsidRDefault="00F735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KARİYER REHBERLİĞİ</w:t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UYGULAMALI YAKLAŞIM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45" w:rsidRDefault="00F735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1D11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1369C"/>
    <w:rsid w:val="00152C31"/>
    <w:rsid w:val="001546BA"/>
    <w:rsid w:val="00166091"/>
    <w:rsid w:val="001B445D"/>
    <w:rsid w:val="001C4B70"/>
    <w:rsid w:val="001D33E0"/>
    <w:rsid w:val="001F372E"/>
    <w:rsid w:val="00212C01"/>
    <w:rsid w:val="00217C34"/>
    <w:rsid w:val="00223C4E"/>
    <w:rsid w:val="00224BE6"/>
    <w:rsid w:val="00247FC9"/>
    <w:rsid w:val="0025256B"/>
    <w:rsid w:val="00254F1B"/>
    <w:rsid w:val="00271D39"/>
    <w:rsid w:val="002A20CD"/>
    <w:rsid w:val="002B66CC"/>
    <w:rsid w:val="002C6FF2"/>
    <w:rsid w:val="002F258F"/>
    <w:rsid w:val="002F3A5A"/>
    <w:rsid w:val="00304CDD"/>
    <w:rsid w:val="003162F3"/>
    <w:rsid w:val="003329F4"/>
    <w:rsid w:val="00333083"/>
    <w:rsid w:val="003669BF"/>
    <w:rsid w:val="003A7BFF"/>
    <w:rsid w:val="003D15D2"/>
    <w:rsid w:val="003E487A"/>
    <w:rsid w:val="003F62BB"/>
    <w:rsid w:val="00414FD6"/>
    <w:rsid w:val="00426C8E"/>
    <w:rsid w:val="004520C7"/>
    <w:rsid w:val="00460CA4"/>
    <w:rsid w:val="00496775"/>
    <w:rsid w:val="004A7206"/>
    <w:rsid w:val="004D2329"/>
    <w:rsid w:val="004F1D5A"/>
    <w:rsid w:val="004F4AE3"/>
    <w:rsid w:val="00505DCB"/>
    <w:rsid w:val="00542A74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30960"/>
    <w:rsid w:val="00730F0B"/>
    <w:rsid w:val="00736A1E"/>
    <w:rsid w:val="00747820"/>
    <w:rsid w:val="00760AFB"/>
    <w:rsid w:val="0078080B"/>
    <w:rsid w:val="00791269"/>
    <w:rsid w:val="00814CB4"/>
    <w:rsid w:val="00816734"/>
    <w:rsid w:val="00823545"/>
    <w:rsid w:val="00874434"/>
    <w:rsid w:val="00890A41"/>
    <w:rsid w:val="00895E77"/>
    <w:rsid w:val="008A2FFF"/>
    <w:rsid w:val="008A7DA1"/>
    <w:rsid w:val="008B2EB0"/>
    <w:rsid w:val="008C3A07"/>
    <w:rsid w:val="009008FA"/>
    <w:rsid w:val="0090149C"/>
    <w:rsid w:val="00963646"/>
    <w:rsid w:val="00995C90"/>
    <w:rsid w:val="009A405D"/>
    <w:rsid w:val="009B1C45"/>
    <w:rsid w:val="009D3288"/>
    <w:rsid w:val="009F5937"/>
    <w:rsid w:val="00A25956"/>
    <w:rsid w:val="00A310EB"/>
    <w:rsid w:val="00A90269"/>
    <w:rsid w:val="00A943C4"/>
    <w:rsid w:val="00AD3211"/>
    <w:rsid w:val="00AD7B25"/>
    <w:rsid w:val="00AE1090"/>
    <w:rsid w:val="00B25E3E"/>
    <w:rsid w:val="00B30DAB"/>
    <w:rsid w:val="00B552C5"/>
    <w:rsid w:val="00B9645D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6651B"/>
    <w:rsid w:val="00ED3E53"/>
    <w:rsid w:val="00EE3A21"/>
    <w:rsid w:val="00EE530F"/>
    <w:rsid w:val="00EF49AD"/>
    <w:rsid w:val="00F05BD7"/>
    <w:rsid w:val="00F16C52"/>
    <w:rsid w:val="00F56CEA"/>
    <w:rsid w:val="00F6664C"/>
    <w:rsid w:val="00F73545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9645D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0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0960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qfc">
    <w:name w:val="y2ıqfc"/>
    <w:basedOn w:val="Domylnaczcionkaakapitu"/>
    <w:rsid w:val="00730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9645D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0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0960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qfc">
    <w:name w:val="y2ıqfc"/>
    <w:basedOn w:val="Domylnaczcionkaakapitu"/>
    <w:rsid w:val="0073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2023-06-08T13:16:00Z</dcterms:created>
  <dcterms:modified xsi:type="dcterms:W3CDTF">2023-10-05T13:02:00Z</dcterms:modified>
</cp:coreProperties>
</file>