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1267498A" w:rsidR="00895E77" w:rsidRPr="00BB0A64" w:rsidRDefault="00016DB0" w:rsidP="00016DB0">
      <w:pPr>
        <w:jc w:val="center"/>
        <w:outlineLvl w:val="0"/>
        <w:rPr>
          <w:b/>
          <w:lang w:val="en-US"/>
        </w:rPr>
      </w:pPr>
      <w:r>
        <w:rPr>
          <w:b/>
          <w:bCs/>
          <w:color w:val="202124"/>
          <w:szCs w:val="24"/>
          <w:lang w:val="ro-RO" w:eastAsia="ro-RO"/>
        </w:rPr>
        <w:t>Multifuncțional-ajută sau împiedică realizarea sarcinilor programate?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530"/>
      </w:tblGrid>
      <w:tr w:rsidR="007128B5" w:rsidRPr="00BB0A64" w14:paraId="31CF5B12" w14:textId="77777777" w:rsidTr="00016DB0">
        <w:tc>
          <w:tcPr>
            <w:tcW w:w="4186" w:type="dxa"/>
            <w:gridSpan w:val="2"/>
            <w:shd w:val="clear" w:color="auto" w:fill="FFE599"/>
          </w:tcPr>
          <w:p w14:paraId="5E6F1DCA" w14:textId="746425D6" w:rsidR="007128B5" w:rsidRPr="00BB0A64" w:rsidRDefault="007128B5" w:rsidP="007128B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67D6AD9D" w14:textId="3CD026FF" w:rsidR="007128B5" w:rsidRPr="00BB0A64" w:rsidRDefault="007128B5" w:rsidP="007128B5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14-19 ani</w:t>
            </w:r>
          </w:p>
        </w:tc>
      </w:tr>
      <w:tr w:rsidR="007128B5" w:rsidRPr="00BB0A64" w14:paraId="1D1F26CE" w14:textId="77777777" w:rsidTr="00016DB0">
        <w:tc>
          <w:tcPr>
            <w:tcW w:w="4186" w:type="dxa"/>
            <w:gridSpan w:val="2"/>
            <w:shd w:val="clear" w:color="auto" w:fill="FFE599"/>
          </w:tcPr>
          <w:p w14:paraId="7AE57EC1" w14:textId="157C58CC" w:rsidR="007128B5" w:rsidRPr="00BB0A64" w:rsidRDefault="007128B5" w:rsidP="007128B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513C9B50" w14:textId="71B1A196" w:rsidR="007128B5" w:rsidRPr="00BB0A64" w:rsidRDefault="007128B5" w:rsidP="007128B5">
            <w:pPr>
              <w:spacing w:before="120" w:after="120"/>
              <w:rPr>
                <w:szCs w:val="24"/>
                <w:lang w:val="en-US"/>
              </w:rPr>
            </w:pPr>
            <w:r w:rsidRPr="0067240E">
              <w:rPr>
                <w:b/>
                <w:i/>
                <w:color w:val="auto"/>
                <w:lang w:val="pl-PL"/>
              </w:rPr>
              <w:t>Biolog</w:t>
            </w:r>
            <w:r>
              <w:rPr>
                <w:b/>
                <w:i/>
                <w:color w:val="auto"/>
                <w:lang w:val="pl-PL"/>
              </w:rPr>
              <w:t>ie</w:t>
            </w:r>
          </w:p>
        </w:tc>
      </w:tr>
      <w:tr w:rsidR="007128B5" w:rsidRPr="00BB0A64" w14:paraId="765E338B" w14:textId="77777777" w:rsidTr="00016DB0">
        <w:tc>
          <w:tcPr>
            <w:tcW w:w="4186" w:type="dxa"/>
            <w:gridSpan w:val="2"/>
            <w:shd w:val="clear" w:color="auto" w:fill="FFE599"/>
          </w:tcPr>
          <w:p w14:paraId="4F205F0A" w14:textId="5E675244" w:rsidR="007128B5" w:rsidRPr="00BB0A64" w:rsidRDefault="007128B5" w:rsidP="007128B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Discipline implicate: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27EAD0EF" w14:textId="0DCD811B" w:rsidR="007128B5" w:rsidRPr="00BB0A64" w:rsidRDefault="007128B5" w:rsidP="007128B5">
            <w:pPr>
              <w:spacing w:before="120" w:after="120"/>
              <w:rPr>
                <w:szCs w:val="24"/>
                <w:lang w:val="en-US"/>
              </w:rPr>
            </w:pPr>
            <w:r w:rsidRPr="00C0113B">
              <w:rPr>
                <w:color w:val="auto"/>
              </w:rPr>
              <w:t>Toate disciplinele, inclusiv cele profesionale</w:t>
            </w:r>
          </w:p>
        </w:tc>
      </w:tr>
      <w:tr w:rsidR="007128B5" w:rsidRPr="00BB0A64" w14:paraId="5CA84D87" w14:textId="77777777" w:rsidTr="00016DB0">
        <w:tc>
          <w:tcPr>
            <w:tcW w:w="4186" w:type="dxa"/>
            <w:gridSpan w:val="2"/>
            <w:shd w:val="clear" w:color="auto" w:fill="FFE599"/>
          </w:tcPr>
          <w:p w14:paraId="16EC49B8" w14:textId="3CCBD178" w:rsidR="007128B5" w:rsidRPr="00BB0A64" w:rsidRDefault="007128B5" w:rsidP="007128B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1E214B97" w14:textId="701E6AD6" w:rsidR="007128B5" w:rsidRPr="007128B5" w:rsidRDefault="007128B5" w:rsidP="007128B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128B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1. Prezentarea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</w:t>
            </w:r>
            <w:r w:rsidRPr="007128B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ilor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</w:t>
            </w:r>
            <w:r w:rsidRPr="007128B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conceptul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ui</w:t>
            </w:r>
            <w:r w:rsidRPr="007128B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de multitasking (multi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funcțional</w:t>
            </w:r>
            <w:r w:rsidRPr="007128B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) și switch-tasking (comutarea între sarcini).</w:t>
            </w:r>
          </w:p>
          <w:p w14:paraId="7E5DA77C" w14:textId="0FE21FD5" w:rsidR="007128B5" w:rsidRPr="007128B5" w:rsidRDefault="007128B5" w:rsidP="007128B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128B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2. Demonstrarea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</w:t>
            </w:r>
            <w:r w:rsidRPr="007128B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ilor că multitasking-ul nu funcționează (rezultate teste, teste multitasking).</w:t>
            </w:r>
          </w:p>
          <w:p w14:paraId="14E44924" w14:textId="77777777" w:rsidR="007128B5" w:rsidRDefault="007128B5" w:rsidP="007128B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128B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3.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</w:t>
            </w:r>
            <w:r w:rsidRPr="007128B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ndica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re</w:t>
            </w:r>
            <w:r w:rsidRPr="007128B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 problemelor pe care le generează multitasking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-ul</w:t>
            </w:r>
            <w:r w:rsidRPr="007128B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(de fapt, comutarea sarcinilor).</w:t>
            </w:r>
          </w:p>
          <w:p w14:paraId="01D4D2D1" w14:textId="1F7CE184" w:rsidR="00016DB0" w:rsidRPr="007128B5" w:rsidRDefault="00016DB0" w:rsidP="007128B5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7128B5" w:rsidRPr="00BB0A64" w14:paraId="1A62E3D8" w14:textId="77777777" w:rsidTr="00016DB0">
        <w:tc>
          <w:tcPr>
            <w:tcW w:w="4186" w:type="dxa"/>
            <w:gridSpan w:val="2"/>
            <w:shd w:val="clear" w:color="auto" w:fill="FFE599"/>
          </w:tcPr>
          <w:p w14:paraId="3FB31753" w14:textId="722FCF78" w:rsidR="007128B5" w:rsidRPr="00BB0A64" w:rsidRDefault="007128B5" w:rsidP="007128B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5492AF7B" w14:textId="5CE956FE" w:rsidR="007128B5" w:rsidRPr="00BB0A64" w:rsidRDefault="007128B5" w:rsidP="007128B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t>Lucru</w:t>
            </w:r>
            <w:proofErr w:type="spellEnd"/>
            <w:r>
              <w:t xml:space="preserve"> i</w:t>
            </w:r>
            <w:r w:rsidRPr="0067240E">
              <w:t>ndividual</w:t>
            </w:r>
          </w:p>
        </w:tc>
      </w:tr>
      <w:tr w:rsidR="007128B5" w:rsidRPr="00BB0A64" w14:paraId="3B24FBBA" w14:textId="77777777" w:rsidTr="00016DB0">
        <w:tc>
          <w:tcPr>
            <w:tcW w:w="4186" w:type="dxa"/>
            <w:gridSpan w:val="2"/>
            <w:shd w:val="clear" w:color="auto" w:fill="FFE599"/>
          </w:tcPr>
          <w:p w14:paraId="5ECB86FF" w14:textId="2F37177F" w:rsidR="007128B5" w:rsidRPr="00BB0A64" w:rsidRDefault="007128B5" w:rsidP="007128B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4106C0F3" w14:textId="62862E7A" w:rsidR="007128B5" w:rsidRPr="00BB0A64" w:rsidRDefault="007128B5" w:rsidP="007128B5">
            <w:pPr>
              <w:spacing w:before="120" w:after="120"/>
              <w:rPr>
                <w:szCs w:val="24"/>
                <w:lang w:val="en-US"/>
              </w:rPr>
            </w:pPr>
            <w:r w:rsidRPr="00FD54A7">
              <w:t>20 min</w:t>
            </w:r>
          </w:p>
        </w:tc>
      </w:tr>
      <w:tr w:rsidR="007128B5" w:rsidRPr="00BB0A64" w14:paraId="4474A97A" w14:textId="77777777" w:rsidTr="00016DB0">
        <w:tc>
          <w:tcPr>
            <w:tcW w:w="4186" w:type="dxa"/>
            <w:gridSpan w:val="2"/>
            <w:shd w:val="clear" w:color="auto" w:fill="FFE599"/>
          </w:tcPr>
          <w:p w14:paraId="14D9D30F" w14:textId="6F8D2200" w:rsidR="007128B5" w:rsidRPr="00BB0A64" w:rsidRDefault="007128B5" w:rsidP="007128B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03829AAE" w14:textId="25771D98" w:rsidR="007128B5" w:rsidRPr="00BB0A64" w:rsidRDefault="007128B5" w:rsidP="007128B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Tablă</w:t>
            </w:r>
            <w:proofErr w:type="spellEnd"/>
            <w:r>
              <w:rPr>
                <w:color w:val="auto"/>
                <w:lang w:val="en-US"/>
              </w:rPr>
              <w:t xml:space="preserve"> </w:t>
            </w:r>
            <w:proofErr w:type="spellStart"/>
            <w:r>
              <w:rPr>
                <w:color w:val="auto"/>
                <w:lang w:val="en-US"/>
              </w:rPr>
              <w:t>interactivă</w:t>
            </w:r>
            <w:proofErr w:type="spellEnd"/>
            <w:r w:rsidRPr="0067240E">
              <w:rPr>
                <w:color w:val="auto"/>
                <w:lang w:val="en-US"/>
              </w:rPr>
              <w:t xml:space="preserve">, computer, </w:t>
            </w:r>
            <w:proofErr w:type="spellStart"/>
            <w:r>
              <w:rPr>
                <w:color w:val="auto"/>
                <w:lang w:val="en-US"/>
              </w:rPr>
              <w:t>boxe</w:t>
            </w:r>
            <w:proofErr w:type="spellEnd"/>
            <w:r w:rsidRPr="0067240E">
              <w:rPr>
                <w:color w:val="auto"/>
                <w:lang w:val="en-US"/>
              </w:rPr>
              <w:t xml:space="preserve">, </w:t>
            </w:r>
            <w:proofErr w:type="spellStart"/>
            <w:r>
              <w:rPr>
                <w:color w:val="auto"/>
                <w:lang w:val="en-US"/>
              </w:rPr>
              <w:t>foi</w:t>
            </w:r>
            <w:proofErr w:type="spellEnd"/>
            <w:r>
              <w:rPr>
                <w:color w:val="auto"/>
                <w:lang w:val="en-US"/>
              </w:rPr>
              <w:t xml:space="preserve"> de </w:t>
            </w:r>
            <w:proofErr w:type="spellStart"/>
            <w:r>
              <w:rPr>
                <w:color w:val="auto"/>
                <w:lang w:val="en-US"/>
              </w:rPr>
              <w:t>hârtie</w:t>
            </w:r>
            <w:proofErr w:type="spellEnd"/>
            <w:r w:rsidRPr="0067240E">
              <w:rPr>
                <w:color w:val="auto"/>
                <w:lang w:val="en-US"/>
              </w:rPr>
              <w:t xml:space="preserve">, </w:t>
            </w:r>
            <w:proofErr w:type="spellStart"/>
            <w:r w:rsidRPr="0067240E">
              <w:rPr>
                <w:color w:val="auto"/>
                <w:lang w:val="en-US"/>
              </w:rPr>
              <w:t>p</w:t>
            </w:r>
            <w:r>
              <w:rPr>
                <w:color w:val="auto"/>
                <w:lang w:val="en-US"/>
              </w:rPr>
              <w:t>ixuri</w:t>
            </w:r>
            <w:proofErr w:type="spellEnd"/>
          </w:p>
        </w:tc>
      </w:tr>
      <w:tr w:rsidR="007128B5" w:rsidRPr="00BB0A64" w14:paraId="384ABDE0" w14:textId="77777777" w:rsidTr="00016DB0">
        <w:tc>
          <w:tcPr>
            <w:tcW w:w="4186" w:type="dxa"/>
            <w:gridSpan w:val="2"/>
            <w:shd w:val="clear" w:color="auto" w:fill="FFE599"/>
          </w:tcPr>
          <w:p w14:paraId="4A9683DD" w14:textId="145E430D" w:rsidR="007128B5" w:rsidRPr="00BB0A64" w:rsidRDefault="007128B5" w:rsidP="007128B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51C42E4F" w14:textId="1412CA0A" w:rsidR="007128B5" w:rsidRPr="00C0113B" w:rsidRDefault="007128B5" w:rsidP="007128B5">
            <w:pPr>
              <w:spacing w:before="120" w:after="120"/>
              <w:rPr>
                <w:color w:val="auto"/>
              </w:rPr>
            </w:pPr>
            <w:r w:rsidRPr="00C0113B">
              <w:rPr>
                <w:color w:val="auto"/>
              </w:rPr>
              <w:t>Competențe sociale</w:t>
            </w:r>
          </w:p>
          <w:p w14:paraId="0B4D8743" w14:textId="4D2BB459" w:rsidR="007128B5" w:rsidRPr="00BB0A64" w:rsidRDefault="007128B5" w:rsidP="007128B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Abilit</w:t>
            </w:r>
            <w:r w:rsidR="00016DB0">
              <w:rPr>
                <w:lang w:val="en-US"/>
              </w:rPr>
              <w:t>ăți</w:t>
            </w:r>
            <w:proofErr w:type="spellEnd"/>
            <w:r w:rsidR="00016DB0">
              <w:rPr>
                <w:lang w:val="en-US"/>
              </w:rPr>
              <w:t xml:space="preserve"> de </w:t>
            </w:r>
            <w:proofErr w:type="spellStart"/>
            <w:r w:rsidR="00016DB0">
              <w:rPr>
                <w:lang w:val="en-US"/>
              </w:rPr>
              <w:t>învățare</w:t>
            </w:r>
            <w:proofErr w:type="spellEnd"/>
          </w:p>
        </w:tc>
      </w:tr>
      <w:tr w:rsidR="007128B5" w:rsidRPr="00BB0A64" w14:paraId="4B43B214" w14:textId="77777777" w:rsidTr="00016DB0">
        <w:tc>
          <w:tcPr>
            <w:tcW w:w="4186" w:type="dxa"/>
            <w:gridSpan w:val="2"/>
            <w:shd w:val="clear" w:color="auto" w:fill="FFE599"/>
          </w:tcPr>
          <w:p w14:paraId="26631E7B" w14:textId="7F3F16AC" w:rsidR="007128B5" w:rsidRPr="00BB0A64" w:rsidRDefault="007128B5" w:rsidP="007128B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5C363DCA" w14:textId="77777777" w:rsidR="007128B5" w:rsidRDefault="00016DB0" w:rsidP="00016DB0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128B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Prezentarea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</w:t>
            </w:r>
            <w:r w:rsidRPr="007128B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ilor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</w:t>
            </w:r>
            <w:r w:rsidRPr="007128B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conceptul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ui</w:t>
            </w:r>
            <w:r w:rsidRPr="007128B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de multitasking (multi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funcțional</w:t>
            </w:r>
            <w:r w:rsidRPr="007128B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) și switch-tasking (comutarea între sarcini).</w:t>
            </w:r>
          </w:p>
          <w:p w14:paraId="439521EF" w14:textId="14DC22F8" w:rsidR="00016DB0" w:rsidRPr="00016DB0" w:rsidRDefault="00016DB0" w:rsidP="00016DB0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7128B5" w:rsidRPr="00BB0A64" w14:paraId="1D09DE1C" w14:textId="77777777" w:rsidTr="00016DB0">
        <w:tc>
          <w:tcPr>
            <w:tcW w:w="4186" w:type="dxa"/>
            <w:gridSpan w:val="2"/>
            <w:shd w:val="clear" w:color="auto" w:fill="FFE599"/>
          </w:tcPr>
          <w:p w14:paraId="7F138473" w14:textId="3255B33B" w:rsidR="007128B5" w:rsidRPr="00BB0A64" w:rsidRDefault="007128B5" w:rsidP="007128B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24426916" w14:textId="4153864B" w:rsidR="00016DB0" w:rsidRPr="00016DB0" w:rsidRDefault="00016DB0" w:rsidP="00016DB0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16DB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Elevii înțeleg ce este multitasking. Pot indica efectele secundare adverse ale multitasking-ului.</w:t>
            </w:r>
          </w:p>
          <w:p w14:paraId="0A164EDD" w14:textId="77777777" w:rsidR="007128B5" w:rsidRDefault="00016DB0" w:rsidP="00016DB0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16DB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Înțeleg costul multitasking-ului. Elimin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</w:t>
            </w:r>
            <w:r w:rsidRPr="00016DB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treptat multitasking-ul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î</w:t>
            </w:r>
            <w:r w:rsidRPr="00016DB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n timpul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î</w:t>
            </w:r>
            <w:r w:rsidRPr="00016DB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nv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ăță</w:t>
            </w:r>
            <w:r w:rsidRPr="00016DB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rii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ș</w:t>
            </w:r>
            <w:r w:rsidRPr="00016DB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 alte activit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ăț</w:t>
            </w:r>
            <w:r w:rsidRPr="00016DB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 care necesit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</w:t>
            </w:r>
            <w:r w:rsidRPr="00016DB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concentrare.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Le</w:t>
            </w:r>
            <w:r w:rsidRPr="00016DB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pasă de sănătatea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propriului </w:t>
            </w:r>
            <w:r w:rsidRPr="00016DB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sistemului nervos.</w:t>
            </w:r>
          </w:p>
          <w:p w14:paraId="2ACD3227" w14:textId="14D6A8CC" w:rsidR="00016DB0" w:rsidRPr="00016DB0" w:rsidRDefault="00016DB0" w:rsidP="00016DB0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7128B5" w:rsidRPr="00BB0A64" w14:paraId="653EDD51" w14:textId="77777777" w:rsidTr="00016DB0">
        <w:tc>
          <w:tcPr>
            <w:tcW w:w="4186" w:type="dxa"/>
            <w:gridSpan w:val="2"/>
            <w:shd w:val="clear" w:color="auto" w:fill="FFE599"/>
          </w:tcPr>
          <w:p w14:paraId="1E9A86C8" w14:textId="1CC9A3E5" w:rsidR="007128B5" w:rsidRPr="00BB0A64" w:rsidRDefault="007128B5" w:rsidP="007128B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lastRenderedPageBreak/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29315962" w14:textId="5380EC23" w:rsidR="007128B5" w:rsidRPr="00016DB0" w:rsidRDefault="00016DB0" w:rsidP="00016DB0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16DB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Dificultate în a înlătura obiceiurile vechi.</w:t>
            </w:r>
          </w:p>
        </w:tc>
      </w:tr>
      <w:tr w:rsidR="007128B5" w:rsidRPr="00BB0A64" w14:paraId="5FDA28C4" w14:textId="77777777" w:rsidTr="00016DB0">
        <w:tc>
          <w:tcPr>
            <w:tcW w:w="4186" w:type="dxa"/>
            <w:gridSpan w:val="2"/>
            <w:shd w:val="clear" w:color="auto" w:fill="FFE599"/>
          </w:tcPr>
          <w:p w14:paraId="37BD48AA" w14:textId="7EA14A46" w:rsidR="007128B5" w:rsidRPr="00BB0A64" w:rsidRDefault="007128B5" w:rsidP="007128B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31" w:type="dxa"/>
            <w:gridSpan w:val="2"/>
            <w:shd w:val="clear" w:color="auto" w:fill="auto"/>
          </w:tcPr>
          <w:p w14:paraId="73996C3C" w14:textId="6E0FDD9A" w:rsidR="007128B5" w:rsidRPr="00016DB0" w:rsidRDefault="00016DB0" w:rsidP="00016DB0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16DB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Exerciții pentru a reduce multitasking-ul. Eliminarea factorilor care împiedică menținerea concentrării.</w:t>
            </w:r>
          </w:p>
        </w:tc>
      </w:tr>
      <w:tr w:rsidR="007128B5" w14:paraId="7D9E7A07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66A17442" w:rsidR="007128B5" w:rsidRPr="00FA72E0" w:rsidRDefault="007128B5" w:rsidP="007128B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DEF2E13" w:rsidR="007128B5" w:rsidRPr="00FA72E0" w:rsidRDefault="007128B5" w:rsidP="007128B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(P: </w:t>
            </w:r>
            <w:proofErr w:type="spellStart"/>
            <w:r>
              <w:rPr>
                <w:b/>
                <w:smallCaps/>
                <w:szCs w:val="24"/>
              </w:rPr>
              <w:t>profesor</w:t>
            </w:r>
            <w:proofErr w:type="spellEnd"/>
            <w:r>
              <w:rPr>
                <w:b/>
                <w:smallCaps/>
                <w:szCs w:val="24"/>
              </w:rPr>
              <w:t xml:space="preserve">; E: </w:t>
            </w:r>
            <w:proofErr w:type="spellStart"/>
            <w:r>
              <w:rPr>
                <w:b/>
                <w:smallCaps/>
                <w:szCs w:val="24"/>
              </w:rPr>
              <w:t>elevi</w:t>
            </w:r>
            <w:proofErr w:type="spellEnd"/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shd w:val="clear" w:color="auto" w:fill="FFE599"/>
          </w:tcPr>
          <w:p w14:paraId="7876B8DA" w14:textId="16B68702" w:rsidR="007128B5" w:rsidRPr="00FA72E0" w:rsidRDefault="007128B5" w:rsidP="007128B5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  <w:r w:rsidR="00016DB0">
              <w:rPr>
                <w:b/>
                <w:szCs w:val="24"/>
              </w:rPr>
              <w:t>,</w:t>
            </w:r>
            <w:r w:rsidR="00016DB0">
              <w:rPr>
                <w:b/>
              </w:rPr>
              <w:t xml:space="preserve"> MIJLOACE</w:t>
            </w:r>
          </w:p>
        </w:tc>
      </w:tr>
      <w:tr w:rsidR="00706E35" w14:paraId="0A83AEBA" w14:textId="77777777" w:rsidTr="007861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3221E958" w:rsidR="00706E35" w:rsidRPr="002118F5" w:rsidRDefault="00706E35" w:rsidP="00706E35">
            <w:pPr>
              <w:jc w:val="center"/>
              <w:rPr>
                <w:b/>
                <w:smallCaps/>
                <w:lang w:val="hu-HU"/>
              </w:rPr>
            </w:pPr>
            <w:r w:rsidRPr="007F4A30">
              <w:rPr>
                <w:b/>
                <w:smallCaps/>
                <w:lang w:val="pl-PL"/>
              </w:rPr>
              <w:t>5  min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0021A1AC" w14:textId="14D6B735" w:rsidR="00706E35" w:rsidRPr="00706E35" w:rsidRDefault="00706E35" w:rsidP="00706E35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16DB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Introducere: profesorul verifică ce știu elevii despre multitasking, dacă folosesc multitasking (în ce situații) și dacă consideră că este o soluție bună.</w:t>
            </w:r>
          </w:p>
        </w:tc>
        <w:tc>
          <w:tcPr>
            <w:tcW w:w="5530" w:type="dxa"/>
            <w:shd w:val="clear" w:color="auto" w:fill="auto"/>
            <w:vAlign w:val="center"/>
          </w:tcPr>
          <w:p w14:paraId="01CB4465" w14:textId="35A0A71D" w:rsidR="00706E35" w:rsidRPr="00143534" w:rsidRDefault="00706E35" w:rsidP="00706E35">
            <w:pPr>
              <w:jc w:val="center"/>
              <w:rPr>
                <w:lang w:val="pl-PL"/>
              </w:rPr>
            </w:pPr>
            <w:r w:rsidRPr="002C095E">
              <w:rPr>
                <w:lang w:val="pl-PL"/>
              </w:rPr>
              <w:t>Di</w:t>
            </w:r>
            <w:r>
              <w:rPr>
                <w:lang w:val="pl-PL"/>
              </w:rPr>
              <w:t>alogul</w:t>
            </w:r>
          </w:p>
          <w:p w14:paraId="43395BCD" w14:textId="14078613" w:rsidR="00706E35" w:rsidRPr="00E325E4" w:rsidRDefault="00706E35" w:rsidP="00706E35">
            <w:pPr>
              <w:rPr>
                <w:color w:val="auto"/>
              </w:rPr>
            </w:pPr>
          </w:p>
        </w:tc>
      </w:tr>
      <w:tr w:rsidR="00706E35" w:rsidRPr="002F42A1" w14:paraId="677E0A3F" w14:textId="77777777" w:rsidTr="007861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24B5" w14:textId="5A01A344" w:rsidR="00706E35" w:rsidRPr="00FA72E0" w:rsidRDefault="00706E35" w:rsidP="00706E3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lang w:val="pl-PL"/>
              </w:rPr>
              <w:t>2</w:t>
            </w:r>
            <w:r w:rsidRPr="00936B50">
              <w:rPr>
                <w:b/>
                <w:smallCaps/>
                <w:lang w:val="pl-PL"/>
              </w:rPr>
              <w:t xml:space="preserve"> min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7105" w14:textId="396415B1" w:rsidR="00706E35" w:rsidRPr="00706E35" w:rsidRDefault="00706E35" w:rsidP="00706E35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16DB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Profesorul explică ce se întâmplă în creier atunci când efectu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ăm</w:t>
            </w:r>
            <w:r w:rsidRPr="00016DB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mai multe acțiuni în același timp. Introduce conceptul de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switchtasking</w:t>
            </w:r>
            <w:r w:rsidRPr="00016DB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(comutarea între sarcini).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9028" w14:textId="16C8A7DC" w:rsidR="00706E35" w:rsidRPr="00706E35" w:rsidRDefault="00706E35" w:rsidP="00706E35">
            <w:pPr>
              <w:spacing w:before="240" w:after="240"/>
              <w:jc w:val="center"/>
              <w:rPr>
                <w:bCs/>
                <w:szCs w:val="24"/>
              </w:rPr>
            </w:pPr>
            <w:proofErr w:type="spellStart"/>
            <w:r w:rsidRPr="00706E35">
              <w:rPr>
                <w:bCs/>
              </w:rPr>
              <w:t>Prezentare</w:t>
            </w:r>
            <w:proofErr w:type="spellEnd"/>
          </w:p>
        </w:tc>
      </w:tr>
      <w:tr w:rsidR="00706E35" w:rsidRPr="002F42A1" w14:paraId="026454B3" w14:textId="77777777" w:rsidTr="00620A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0A2C" w14:textId="0BE160CA" w:rsidR="00706E35" w:rsidRPr="00FA72E0" w:rsidRDefault="00706E35" w:rsidP="00706E3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5 min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4776" w14:textId="77777777" w:rsidR="00706E35" w:rsidRPr="00706E35" w:rsidRDefault="00706E35" w:rsidP="00706E3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06E3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1. Teste multitasking:</w:t>
            </w:r>
          </w:p>
          <w:p w14:paraId="6E7D2EFD" w14:textId="77777777" w:rsidR="00706E35" w:rsidRPr="00706E35" w:rsidRDefault="00706E35" w:rsidP="00706E3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06E3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2. Scrierea la timp a literelor și numerelor (pe rând și alternativ).</w:t>
            </w:r>
          </w:p>
          <w:p w14:paraId="538097CB" w14:textId="77777777" w:rsidR="00706E35" w:rsidRPr="00706E35" w:rsidRDefault="00706E35" w:rsidP="00706E3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06E3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3. Numărarea a 2 figuri geometrice diferite care apar pe ecran în același timp (pe baza filmului).</w:t>
            </w:r>
          </w:p>
          <w:p w14:paraId="3BE7AD01" w14:textId="392ECA1F" w:rsidR="00706E35" w:rsidRPr="00706E35" w:rsidRDefault="00706E35" w:rsidP="00706E35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06E3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4. Asculta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rea a</w:t>
            </w:r>
            <w:r w:rsidRPr="00706E3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2 înregistrări scurte diferite redate în același timp.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DF5E" w14:textId="77777777" w:rsidR="00706E35" w:rsidRDefault="00706E35" w:rsidP="00706E3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  <w:p w14:paraId="58DC752A" w14:textId="7DAC4C34" w:rsidR="00706E35" w:rsidRPr="00706E35" w:rsidRDefault="00706E35" w:rsidP="00706E35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06E3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exercițiu multitasking;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tablă</w:t>
            </w:r>
            <w:r w:rsidRPr="00706E3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multimedia, laptop, boxe, foi de h</w:t>
            </w:r>
            <w:r w:rsidR="00995AE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â</w:t>
            </w:r>
            <w:r w:rsidRPr="00706E3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rtie, pixuri</w:t>
            </w:r>
          </w:p>
          <w:p w14:paraId="2AE0853E" w14:textId="402D127B" w:rsidR="00706E35" w:rsidRPr="00FA72E0" w:rsidRDefault="00706E35" w:rsidP="00706E35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  <w:tr w:rsidR="00706E35" w:rsidRPr="002F42A1" w14:paraId="749CD7FF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AF2A" w14:textId="604AED3D" w:rsidR="00706E35" w:rsidRPr="00FA72E0" w:rsidRDefault="00706E35" w:rsidP="00706E3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lang w:val="pl-PL"/>
              </w:rPr>
              <w:t xml:space="preserve">3 min 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9FDE" w14:textId="76BEA84F" w:rsidR="00706E35" w:rsidRPr="00706E35" w:rsidRDefault="00706E35" w:rsidP="00706E35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06E3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Test multitasking: numărarea bilelor care s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ar</w:t>
            </w:r>
            <w:r w:rsidRPr="00706E3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de pe roată (pe baza videoclipului)</w:t>
            </w:r>
          </w:p>
          <w:p w14:paraId="3F9EB0E7" w14:textId="75E475FE" w:rsidR="00706E35" w:rsidRPr="00706E35" w:rsidRDefault="00706E35" w:rsidP="00706E35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06E3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A observat cineva: un dinozaur, o schimbare în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f</w:t>
            </w:r>
            <w:r w:rsidRPr="00706E3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orma unui cerc, o minge „zâmbitoare”?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752B" w14:textId="6B04BD55" w:rsidR="00706E35" w:rsidRDefault="00995AEE" w:rsidP="00706E35">
            <w:pPr>
              <w:spacing w:before="240" w:after="240"/>
              <w:jc w:val="center"/>
            </w:pPr>
            <w:proofErr w:type="spellStart"/>
            <w:r w:rsidRPr="00706E35">
              <w:rPr>
                <w:rStyle w:val="y2iqfc"/>
                <w:color w:val="202124"/>
                <w:szCs w:val="24"/>
              </w:rPr>
              <w:t>exercițiu</w:t>
            </w:r>
            <w:proofErr w:type="spellEnd"/>
            <w:r w:rsidRPr="00706E35">
              <w:rPr>
                <w:rStyle w:val="y2iqfc"/>
                <w:color w:val="202124"/>
                <w:szCs w:val="24"/>
              </w:rPr>
              <w:t xml:space="preserve"> multitasking; </w:t>
            </w:r>
            <w:proofErr w:type="spellStart"/>
            <w:r>
              <w:rPr>
                <w:rStyle w:val="y2iqfc"/>
                <w:color w:val="202124"/>
                <w:szCs w:val="24"/>
              </w:rPr>
              <w:t>tablă</w:t>
            </w:r>
            <w:proofErr w:type="spellEnd"/>
            <w:r w:rsidRPr="00706E35">
              <w:rPr>
                <w:rStyle w:val="y2iqfc"/>
                <w:color w:val="202124"/>
                <w:szCs w:val="24"/>
              </w:rPr>
              <w:t xml:space="preserve"> multimedia, laptop, </w:t>
            </w:r>
            <w:proofErr w:type="spellStart"/>
            <w:r w:rsidRPr="00706E35">
              <w:rPr>
                <w:rStyle w:val="y2iqfc"/>
                <w:color w:val="202124"/>
                <w:szCs w:val="24"/>
              </w:rPr>
              <w:t>boxe</w:t>
            </w:r>
            <w:proofErr w:type="spellEnd"/>
          </w:p>
        </w:tc>
      </w:tr>
      <w:tr w:rsidR="00706E35" w:rsidRPr="002F42A1" w14:paraId="0977BF6E" w14:textId="77777777" w:rsidTr="00620A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3262" w14:textId="357C1E6B" w:rsidR="00706E35" w:rsidRDefault="00706E35" w:rsidP="00706E3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</w:rPr>
              <w:t xml:space="preserve">5 MIN 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9983" w14:textId="305B7D90" w:rsidR="00706E35" w:rsidRPr="00706E35" w:rsidRDefault="00706E35" w:rsidP="00706E35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06E3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Realizarea unei liste de efecte secundare ale efectuării mai multor sarcini împreună cu elevii în același timp. Încuraja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rea</w:t>
            </w:r>
            <w:r w:rsidRPr="00706E3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elevi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lor</w:t>
            </w:r>
            <w:r w:rsidRPr="00706E3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să încerce eliminarea activităților multitaskingu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de-a lungul timpului</w:t>
            </w:r>
            <w:r w:rsidRPr="00706E35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care necesită concentrare, cum ar fi învățarea.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3478" w14:textId="2B515A5F" w:rsidR="00706E35" w:rsidRDefault="00995AEE" w:rsidP="00706E35">
            <w:pPr>
              <w:spacing w:before="240" w:after="240"/>
              <w:jc w:val="center"/>
            </w:pPr>
            <w:proofErr w:type="spellStart"/>
            <w:r>
              <w:t>Discuție</w:t>
            </w:r>
            <w:proofErr w:type="spellEnd"/>
            <w:r>
              <w:t xml:space="preserve">, </w:t>
            </w:r>
            <w:proofErr w:type="spellStart"/>
            <w:r>
              <w:t>tablă</w:t>
            </w:r>
            <w:proofErr w:type="spellEnd"/>
            <w:r>
              <w:t xml:space="preserve"> multimedia</w:t>
            </w:r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5125A" w14:textId="77777777" w:rsidR="00CC29F8" w:rsidRDefault="00CC29F8" w:rsidP="00895E77">
      <w:r>
        <w:separator/>
      </w:r>
    </w:p>
  </w:endnote>
  <w:endnote w:type="continuationSeparator" w:id="0">
    <w:p w14:paraId="3CBA9713" w14:textId="77777777" w:rsidR="00CC29F8" w:rsidRDefault="00CC29F8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BF511" w14:textId="77777777" w:rsidR="00C0113B" w:rsidRDefault="00C011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9907" w14:textId="2E28A77E" w:rsidR="00C0113B" w:rsidRDefault="00C0113B">
    <w:pPr>
      <w:pStyle w:val="Stopka"/>
    </w:pPr>
    <w:bookmarkStart w:id="1" w:name="_GoBack"/>
    <w:bookmarkEnd w:id="1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AE65B7" wp14:editId="411955B2">
              <wp:simplePos x="0" y="0"/>
              <wp:positionH relativeFrom="column">
                <wp:posOffset>-381000</wp:posOffset>
              </wp:positionH>
              <wp:positionV relativeFrom="paragraph">
                <wp:posOffset>-31115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2D896" w14:textId="77777777" w:rsidR="00C0113B" w:rsidRPr="00665D1C" w:rsidRDefault="00C0113B" w:rsidP="00C0113B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38C62" w14:textId="77777777" w:rsidR="00C0113B" w:rsidRPr="005B584A" w:rsidRDefault="00C0113B" w:rsidP="00C0113B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C5D4942" w14:textId="77777777" w:rsidR="00C0113B" w:rsidRDefault="00C0113B" w:rsidP="00C0113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30pt;margin-top:-2.4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D2R3l3hAAAACgEAAA8AAABkcnMvZG93bnJl&#10;di54bWxMj0FLw0AQhe+C/2EZwVu7iSalxmxKKeqpCLaCeJtmp0lodjZkt0n6792e7G1m3uPN9/LV&#10;ZFoxUO8aywrieQSCuLS64UrB9/59tgThPLLG1jIpuJCDVXF/l2Om7chfNOx8JUIIuwwV1N53mZSu&#10;rMmgm9uOOGhH2xv0Ye0rqXscQ7hp5VMULaTBhsOHGjva1FSedmej4GPEcf0cvw3b03Fz+d2nnz/b&#10;mJR6fJjWryA8Tf7fDFf8gA5FYDrYM2snWgWzRRS6+DAkLyCuhiRJw+WgYJnGIItc3lYo/gA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PZHeXe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0312D896" w14:textId="77777777" w:rsidR="00C0113B" w:rsidRPr="00665D1C" w:rsidRDefault="00C0113B" w:rsidP="00C0113B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2AF38C62" w14:textId="77777777" w:rsidR="00C0113B" w:rsidRPr="005B584A" w:rsidRDefault="00C0113B" w:rsidP="00C0113B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5C5D4942" w14:textId="77777777" w:rsidR="00C0113B" w:rsidRDefault="00C0113B" w:rsidP="00C0113B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C11A7" w14:textId="77777777" w:rsidR="00C0113B" w:rsidRDefault="00C011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14BFE" w14:textId="77777777" w:rsidR="00CC29F8" w:rsidRDefault="00CC29F8" w:rsidP="00895E77">
      <w:r>
        <w:separator/>
      </w:r>
    </w:p>
  </w:footnote>
  <w:footnote w:type="continuationSeparator" w:id="0">
    <w:p w14:paraId="393A22DE" w14:textId="77777777" w:rsidR="00CC29F8" w:rsidRDefault="00CC29F8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66AB" w14:textId="77777777" w:rsidR="00C0113B" w:rsidRDefault="00C011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1DC4D" w14:textId="77777777" w:rsidR="00C0113B" w:rsidRDefault="00C011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16DB0"/>
    <w:rsid w:val="000259C6"/>
    <w:rsid w:val="00032C0F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33083"/>
    <w:rsid w:val="003669BF"/>
    <w:rsid w:val="00395BD5"/>
    <w:rsid w:val="003A7BFF"/>
    <w:rsid w:val="003D15D2"/>
    <w:rsid w:val="003E487A"/>
    <w:rsid w:val="003F62BB"/>
    <w:rsid w:val="00407B49"/>
    <w:rsid w:val="00414FD6"/>
    <w:rsid w:val="00426C8E"/>
    <w:rsid w:val="00460CA4"/>
    <w:rsid w:val="00496775"/>
    <w:rsid w:val="004A7206"/>
    <w:rsid w:val="004D2329"/>
    <w:rsid w:val="004F1D5A"/>
    <w:rsid w:val="004F4AE3"/>
    <w:rsid w:val="00542A74"/>
    <w:rsid w:val="00584F11"/>
    <w:rsid w:val="00595696"/>
    <w:rsid w:val="005A20C3"/>
    <w:rsid w:val="005A6941"/>
    <w:rsid w:val="005C448D"/>
    <w:rsid w:val="00606462"/>
    <w:rsid w:val="00654440"/>
    <w:rsid w:val="006F771D"/>
    <w:rsid w:val="0070601F"/>
    <w:rsid w:val="00706E35"/>
    <w:rsid w:val="0071059B"/>
    <w:rsid w:val="007128B5"/>
    <w:rsid w:val="00717FAB"/>
    <w:rsid w:val="0078080B"/>
    <w:rsid w:val="00791269"/>
    <w:rsid w:val="00814CB4"/>
    <w:rsid w:val="00816734"/>
    <w:rsid w:val="00823545"/>
    <w:rsid w:val="00874434"/>
    <w:rsid w:val="00895E77"/>
    <w:rsid w:val="008A2FFF"/>
    <w:rsid w:val="008A7DA1"/>
    <w:rsid w:val="008C3A07"/>
    <w:rsid w:val="0090149C"/>
    <w:rsid w:val="0099557E"/>
    <w:rsid w:val="00995AEE"/>
    <w:rsid w:val="009A405D"/>
    <w:rsid w:val="009B1C45"/>
    <w:rsid w:val="009D3288"/>
    <w:rsid w:val="009F5937"/>
    <w:rsid w:val="00A25956"/>
    <w:rsid w:val="00A310EB"/>
    <w:rsid w:val="00A90269"/>
    <w:rsid w:val="00AD7B25"/>
    <w:rsid w:val="00AE1090"/>
    <w:rsid w:val="00B25E3E"/>
    <w:rsid w:val="00B552C5"/>
    <w:rsid w:val="00BC48D3"/>
    <w:rsid w:val="00C0113B"/>
    <w:rsid w:val="00C13A72"/>
    <w:rsid w:val="00C53DAD"/>
    <w:rsid w:val="00C57BBD"/>
    <w:rsid w:val="00C641DA"/>
    <w:rsid w:val="00CA69DC"/>
    <w:rsid w:val="00CC29F8"/>
    <w:rsid w:val="00CD588D"/>
    <w:rsid w:val="00CF6CC0"/>
    <w:rsid w:val="00D01BA2"/>
    <w:rsid w:val="00D03035"/>
    <w:rsid w:val="00D4186C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D3E53"/>
    <w:rsid w:val="00EF49AD"/>
    <w:rsid w:val="00F05BD7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12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128B5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7128B5"/>
  </w:style>
  <w:style w:type="paragraph" w:styleId="Tekstdymka">
    <w:name w:val="Balloon Text"/>
    <w:basedOn w:val="Normalny"/>
    <w:link w:val="TekstdymkaZnak"/>
    <w:uiPriority w:val="99"/>
    <w:semiHidden/>
    <w:unhideWhenUsed/>
    <w:rsid w:val="00C011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13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C0113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12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128B5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7128B5"/>
  </w:style>
  <w:style w:type="paragraph" w:styleId="Tekstdymka">
    <w:name w:val="Balloon Text"/>
    <w:basedOn w:val="Normalny"/>
    <w:link w:val="TekstdymkaZnak"/>
    <w:uiPriority w:val="99"/>
    <w:semiHidden/>
    <w:unhideWhenUsed/>
    <w:rsid w:val="00C011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13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C011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2023-06-04T11:16:00Z</dcterms:created>
  <dcterms:modified xsi:type="dcterms:W3CDTF">2023-10-05T11:17:00Z</dcterms:modified>
</cp:coreProperties>
</file>