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615F51A" w:rsidR="00895E77" w:rsidRPr="002D14DF" w:rsidRDefault="005D0747" w:rsidP="00895E77">
      <w:pPr>
        <w:shd w:val="clear" w:color="auto" w:fill="FFE599"/>
        <w:jc w:val="center"/>
        <w:outlineLvl w:val="0"/>
        <w:rPr>
          <w:b/>
          <w:lang w:val="pl-PL"/>
        </w:rPr>
      </w:pPr>
      <w:r w:rsidRPr="002D14DF">
        <w:rPr>
          <w:b/>
          <w:lang w:val="pl-PL"/>
        </w:rPr>
        <w:t>Plan Lekcji</w:t>
      </w:r>
    </w:p>
    <w:p w14:paraId="2FEE2786" w14:textId="2A4CD490" w:rsidR="00895E77" w:rsidRPr="002D14DF" w:rsidRDefault="00660A8F" w:rsidP="00895E77">
      <w:pPr>
        <w:jc w:val="center"/>
        <w:outlineLvl w:val="0"/>
        <w:rPr>
          <w:b/>
          <w:lang w:val="pl-PL"/>
        </w:rPr>
      </w:pPr>
      <w:r w:rsidRPr="002D14DF">
        <w:rPr>
          <w:b/>
          <w:lang w:val="pl-PL"/>
        </w:rPr>
        <w:t>Wpływ cech moralnych na sukces w życiu zawodowym</w:t>
      </w:r>
      <w:r w:rsidR="002F3A5A" w:rsidRPr="002D14DF">
        <w:rPr>
          <w:b/>
          <w:lang w:val="pl-PL"/>
        </w:rPr>
        <w:t xml:space="preserve"> </w:t>
      </w:r>
    </w:p>
    <w:tbl>
      <w:tblPr>
        <w:tblW w:w="137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075"/>
        <w:gridCol w:w="4433"/>
        <w:gridCol w:w="5010"/>
        <w:gridCol w:w="317"/>
      </w:tblGrid>
      <w:tr w:rsidR="00895E77" w:rsidRPr="00BB0A64" w14:paraId="31CF5B12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5E6F1DCA" w14:textId="1FDC7418" w:rsidR="00895E77" w:rsidRPr="00BB0A64" w:rsidRDefault="005D0747" w:rsidP="005C0365">
            <w:pPr>
              <w:spacing w:before="120" w:after="120"/>
              <w:rPr>
                <w:szCs w:val="24"/>
                <w:lang w:val="en-US"/>
              </w:rPr>
            </w:pPr>
            <w:r w:rsidRPr="005D0747">
              <w:rPr>
                <w:b/>
                <w:sz w:val="22"/>
                <w:lang w:val="en-US"/>
              </w:rPr>
              <w:t>Poziom, wiek uczniów</w:t>
            </w:r>
            <w:r w:rsidR="00895E77"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67D6AD9D" w14:textId="5B36B096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4B1C85">
              <w:rPr>
                <w:sz w:val="22"/>
                <w:lang w:val="en-US"/>
              </w:rPr>
              <w:t>14-17</w:t>
            </w:r>
          </w:p>
        </w:tc>
      </w:tr>
      <w:tr w:rsidR="00895E77" w:rsidRPr="00BB0A64" w14:paraId="1D1F26CE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7AE57EC1" w14:textId="29F44791" w:rsidR="00895E77" w:rsidRPr="00BB0A64" w:rsidRDefault="005D074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5D0747">
              <w:rPr>
                <w:b/>
                <w:bCs/>
                <w:szCs w:val="24"/>
                <w:lang w:val="en-US"/>
              </w:rPr>
              <w:t>Przedmiot: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513C9B50" w14:textId="667A9F3B" w:rsidR="00895E77" w:rsidRPr="00BB0A64" w:rsidRDefault="005D0747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5D0747">
              <w:rPr>
                <w:szCs w:val="24"/>
                <w:lang w:val="en-US"/>
              </w:rPr>
              <w:t>Teologia-Religia</w:t>
            </w:r>
            <w:proofErr w:type="spellEnd"/>
          </w:p>
        </w:tc>
      </w:tr>
      <w:tr w:rsidR="00895E77" w:rsidRPr="00BB0A64" w14:paraId="765E338B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4F205F0A" w14:textId="12DDCF9C" w:rsidR="00895E77" w:rsidRPr="00BB0A64" w:rsidRDefault="00C60C81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Dodatkowe</w:t>
            </w:r>
            <w:proofErr w:type="spellEnd"/>
            <w:r w:rsidR="005D0747" w:rsidRPr="005D074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5D0747" w:rsidRPr="005D0747">
              <w:rPr>
                <w:b/>
                <w:bCs/>
                <w:szCs w:val="24"/>
                <w:lang w:val="en-US"/>
              </w:rPr>
              <w:t>podmioty</w:t>
            </w:r>
            <w:proofErr w:type="spellEnd"/>
            <w:r w:rsidR="005D0747" w:rsidRPr="005D074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27EAD0EF" w14:textId="71E49572" w:rsidR="00895E77" w:rsidRPr="00BB0A64" w:rsidRDefault="005D0747" w:rsidP="00C60C8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5D0747">
              <w:rPr>
                <w:szCs w:val="24"/>
                <w:lang w:val="en-US"/>
              </w:rPr>
              <w:t>Filozofia</w:t>
            </w:r>
            <w:proofErr w:type="spellEnd"/>
            <w:r w:rsidRPr="005D0747">
              <w:rPr>
                <w:szCs w:val="24"/>
                <w:lang w:val="en-US"/>
              </w:rPr>
              <w:t xml:space="preserve">, </w:t>
            </w:r>
            <w:proofErr w:type="spellStart"/>
            <w:r w:rsidR="00C60C81">
              <w:rPr>
                <w:szCs w:val="24"/>
                <w:lang w:val="en-US"/>
              </w:rPr>
              <w:t>Godzina</w:t>
            </w:r>
            <w:proofErr w:type="spellEnd"/>
            <w:r w:rsidR="00C60C81">
              <w:rPr>
                <w:szCs w:val="24"/>
                <w:lang w:val="en-US"/>
              </w:rPr>
              <w:t xml:space="preserve"> </w:t>
            </w:r>
            <w:proofErr w:type="spellStart"/>
            <w:r w:rsidR="00C60C81">
              <w:rPr>
                <w:szCs w:val="24"/>
                <w:lang w:val="en-US"/>
              </w:rPr>
              <w:t>wychowawcza</w:t>
            </w:r>
            <w:proofErr w:type="spellEnd"/>
          </w:p>
        </w:tc>
      </w:tr>
      <w:tr w:rsidR="00895E77" w:rsidRPr="002D14DF" w14:paraId="5CA84D87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16EC49B8" w14:textId="18C58215" w:rsidR="00895E77" w:rsidRPr="00BB0A64" w:rsidRDefault="005D074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5D0747">
              <w:rPr>
                <w:b/>
                <w:bCs/>
                <w:szCs w:val="24"/>
                <w:lang w:val="en-US"/>
              </w:rPr>
              <w:t>Cele: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4FAF19FB" w14:textId="6E589BFD" w:rsidR="005D0747" w:rsidRPr="005D0747" w:rsidRDefault="005D0747" w:rsidP="005D0747">
            <w:pPr>
              <w:spacing w:before="120" w:after="120"/>
              <w:rPr>
                <w:szCs w:val="24"/>
                <w:lang w:val="pl-PL"/>
              </w:rPr>
            </w:pPr>
            <w:r w:rsidRPr="005D0747">
              <w:rPr>
                <w:szCs w:val="24"/>
                <w:lang w:val="pl-PL"/>
              </w:rPr>
              <w:t xml:space="preserve">Wyjaśnienie ekwiwalentów życia społecznego religii i zasad moralnych, które mają charakter abstrakcyjny, a zatem </w:t>
            </w:r>
            <w:r w:rsidR="00660A8F">
              <w:rPr>
                <w:szCs w:val="24"/>
                <w:lang w:val="pl-PL"/>
              </w:rPr>
              <w:t xml:space="preserve">są </w:t>
            </w:r>
            <w:r w:rsidRPr="005D0747">
              <w:rPr>
                <w:szCs w:val="24"/>
                <w:lang w:val="pl-PL"/>
              </w:rPr>
              <w:t>trudne do zrozumienia, zwłaszcza we wczes</w:t>
            </w:r>
            <w:r w:rsidR="00660A8F">
              <w:rPr>
                <w:szCs w:val="24"/>
                <w:lang w:val="pl-PL"/>
              </w:rPr>
              <w:t>nym wieku</w:t>
            </w:r>
            <w:r w:rsidRPr="005D0747">
              <w:rPr>
                <w:szCs w:val="24"/>
                <w:lang w:val="pl-PL"/>
              </w:rPr>
              <w:t>.</w:t>
            </w:r>
          </w:p>
          <w:p w14:paraId="0B8493D2" w14:textId="6DDFF9DE" w:rsidR="005D0747" w:rsidRPr="005D0747" w:rsidRDefault="00660A8F" w:rsidP="005D0747">
            <w:pPr>
              <w:spacing w:before="120" w:after="1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Uświadomienie</w:t>
            </w:r>
            <w:r w:rsidR="005D0747" w:rsidRPr="005D0747">
              <w:rPr>
                <w:szCs w:val="24"/>
                <w:lang w:val="pl-PL"/>
              </w:rPr>
              <w:t>, że najważniejszą dynamiką życia społecznego są cnoty moralne, takie jak bezpieczeństwo, zaufanie, uczciwość, lojalność, czystość, wstrzemięźliwość, zachowanie tajemnic i przyzwoitość.</w:t>
            </w:r>
          </w:p>
          <w:p w14:paraId="78278666" w14:textId="77777777" w:rsidR="005D0747" w:rsidRPr="005D0747" w:rsidRDefault="005D0747" w:rsidP="005D0747">
            <w:pPr>
              <w:spacing w:before="120" w:after="120"/>
              <w:rPr>
                <w:szCs w:val="24"/>
                <w:lang w:val="pl-PL"/>
              </w:rPr>
            </w:pPr>
            <w:r w:rsidRPr="005D0747">
              <w:rPr>
                <w:szCs w:val="24"/>
                <w:lang w:val="pl-PL"/>
              </w:rPr>
              <w:t>Zapoznanie uczniów z możliwościami, jakie będą mieli podstawowe cnoty moralne, wybierając wszelkiego rodzaju zawody w swoich planach zawodowych, zaoferuje im w zawodach, w których będą się specjalizować.</w:t>
            </w:r>
          </w:p>
          <w:p w14:paraId="01D4D2D1" w14:textId="1F5BF037" w:rsidR="005A6941" w:rsidRPr="005D0747" w:rsidRDefault="005D0747" w:rsidP="005D0747">
            <w:pPr>
              <w:spacing w:before="120" w:after="120"/>
              <w:rPr>
                <w:szCs w:val="24"/>
                <w:lang w:val="pl-PL"/>
              </w:rPr>
            </w:pPr>
            <w:r w:rsidRPr="005D0747">
              <w:rPr>
                <w:szCs w:val="24"/>
                <w:lang w:val="pl-PL"/>
              </w:rPr>
              <w:t>Podnoszenie świadomości, że każda grupa zawodowa obejmuje cnoty podrzędne i cnoty moralne należące do ich własnej dyscypliny, oprócz podstawowych cnót moralnych.</w:t>
            </w:r>
          </w:p>
        </w:tc>
      </w:tr>
      <w:tr w:rsidR="00895E77" w:rsidRPr="00BB0A64" w14:paraId="1A62E3D8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3FB31753" w14:textId="7515057D" w:rsidR="00895E77" w:rsidRPr="005D0747" w:rsidRDefault="005D0747" w:rsidP="005C0365">
            <w:pPr>
              <w:spacing w:before="120" w:after="120"/>
              <w:rPr>
                <w:b/>
                <w:bCs/>
                <w:szCs w:val="24"/>
                <w:lang w:val="pl-PL"/>
              </w:rPr>
            </w:pPr>
            <w:r>
              <w:rPr>
                <w:b/>
                <w:bCs/>
                <w:szCs w:val="24"/>
                <w:lang w:val="pl-PL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L</w:t>
            </w:r>
            <w:r w:rsidRPr="005D0747">
              <w:rPr>
                <w:b/>
                <w:bCs/>
                <w:szCs w:val="24"/>
                <w:lang w:val="pl-PL"/>
              </w:rPr>
              <w:t>iczba uczniów w grupie: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5492AF7B" w14:textId="0A1615AB" w:rsidR="008A2FFF" w:rsidRPr="00BB0A64" w:rsidRDefault="004B1C85" w:rsidP="00FB363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20-25</w:t>
            </w:r>
          </w:p>
        </w:tc>
      </w:tr>
      <w:tr w:rsidR="00895E77" w:rsidRPr="00BB0A64" w14:paraId="3B24FBBA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5ECB86FF" w14:textId="593BFE6C" w:rsidR="00895E77" w:rsidRPr="00BB0A64" w:rsidRDefault="00C60C81" w:rsidP="00C60C8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Czas</w:t>
            </w:r>
            <w:proofErr w:type="spellEnd"/>
            <w:r w:rsidR="005D0747" w:rsidRPr="005D074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4106C0F3" w14:textId="100DA9C1" w:rsidR="00895E77" w:rsidRPr="00BB0A64" w:rsidRDefault="005D0747" w:rsidP="005D0747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min+ 15 min</w:t>
            </w:r>
            <w:r w:rsidR="004B1C85">
              <w:rPr>
                <w:szCs w:val="24"/>
                <w:lang w:val="en-US"/>
              </w:rPr>
              <w:t xml:space="preserve"> </w:t>
            </w:r>
            <w:r w:rsidRPr="005D0747">
              <w:rPr>
                <w:szCs w:val="24"/>
                <w:lang w:val="en-US"/>
              </w:rPr>
              <w:t xml:space="preserve">(2 </w:t>
            </w:r>
            <w:proofErr w:type="spellStart"/>
            <w:r w:rsidRPr="005D0747">
              <w:rPr>
                <w:szCs w:val="24"/>
                <w:lang w:val="en-US"/>
              </w:rPr>
              <w:t>różne</w:t>
            </w:r>
            <w:proofErr w:type="spellEnd"/>
            <w:r w:rsidRPr="005D0747">
              <w:rPr>
                <w:szCs w:val="24"/>
                <w:lang w:val="en-US"/>
              </w:rPr>
              <w:t xml:space="preserve"> </w:t>
            </w:r>
            <w:proofErr w:type="spellStart"/>
            <w:r w:rsidRPr="005D0747">
              <w:rPr>
                <w:szCs w:val="24"/>
                <w:lang w:val="en-US"/>
              </w:rPr>
              <w:t>klasy</w:t>
            </w:r>
            <w:proofErr w:type="spellEnd"/>
            <w:r w:rsidRPr="005D0747">
              <w:rPr>
                <w:szCs w:val="24"/>
                <w:lang w:val="en-US"/>
              </w:rPr>
              <w:t>)</w:t>
            </w:r>
          </w:p>
        </w:tc>
      </w:tr>
      <w:tr w:rsidR="00895E77" w:rsidRPr="002D14DF" w14:paraId="4474A97A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14D9D30F" w14:textId="1FE64CC9" w:rsidR="00895E77" w:rsidRPr="00BB0A64" w:rsidRDefault="00660A8F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Narzędzia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03829AAE" w14:textId="4B47BDBC" w:rsidR="00895E77" w:rsidRPr="005D0747" w:rsidRDefault="005D0747" w:rsidP="00660A8F">
            <w:pPr>
              <w:spacing w:before="120" w:after="1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Tablica interaktywna</w:t>
            </w:r>
            <w:r w:rsidR="00F864A5">
              <w:rPr>
                <w:szCs w:val="24"/>
                <w:lang w:val="pl-PL"/>
              </w:rPr>
              <w:t xml:space="preserve">, </w:t>
            </w:r>
            <w:r w:rsidR="00F675A3">
              <w:rPr>
                <w:szCs w:val="24"/>
                <w:lang w:val="pl-PL"/>
              </w:rPr>
              <w:t xml:space="preserve">komputer, </w:t>
            </w:r>
            <w:r w:rsidR="00660A8F">
              <w:rPr>
                <w:szCs w:val="24"/>
                <w:lang w:val="pl-PL"/>
              </w:rPr>
              <w:t xml:space="preserve">notes, </w:t>
            </w:r>
            <w:r w:rsidR="00F864A5">
              <w:rPr>
                <w:szCs w:val="24"/>
                <w:lang w:val="pl-PL"/>
              </w:rPr>
              <w:t>publikacje</w:t>
            </w:r>
            <w:r w:rsidR="00F864A5" w:rsidRPr="00F864A5">
              <w:rPr>
                <w:szCs w:val="24"/>
                <w:lang w:val="pl-PL"/>
              </w:rPr>
              <w:t>.</w:t>
            </w:r>
          </w:p>
        </w:tc>
      </w:tr>
      <w:tr w:rsidR="00895E77" w:rsidRPr="002D14DF" w14:paraId="384ABDE0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4A9683DD" w14:textId="3B4B6C83" w:rsidR="00895E77" w:rsidRPr="00BB0A64" w:rsidRDefault="00F864A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F864A5">
              <w:rPr>
                <w:b/>
                <w:bCs/>
                <w:szCs w:val="24"/>
                <w:lang w:val="en-US"/>
              </w:rPr>
              <w:t>Kompetencje: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0B4D8743" w14:textId="275019A4" w:rsidR="00895E77" w:rsidRPr="00F864A5" w:rsidRDefault="00F675A3" w:rsidP="00F864A5">
            <w:pPr>
              <w:spacing w:before="120" w:after="120"/>
              <w:rPr>
                <w:szCs w:val="24"/>
                <w:lang w:val="pl-PL"/>
              </w:rPr>
            </w:pPr>
            <w:r w:rsidRPr="002D14DF">
              <w:rPr>
                <w:rStyle w:val="rynqvb"/>
                <w:lang w:val="pl-PL"/>
              </w:rPr>
              <w:t>Posiadanie woli wzmocnienia osobistego wyposażenia moralnego. Wykształcenie umiejętności obserwacji i klasyfikowania indywidualnych doświadczeń życiowych w ramach określonego celu. Umiejętność wyjaśnienia, że rozmówcy działają na tle religijnym, moralnym i filozoficznym w wydarzeniach życia codziennego.</w:t>
            </w:r>
          </w:p>
        </w:tc>
      </w:tr>
      <w:tr w:rsidR="00895E77" w:rsidRPr="002D14DF" w14:paraId="4B43B214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26631E7B" w14:textId="62D6FAFC" w:rsidR="00895E77" w:rsidRPr="00BB0A64" w:rsidRDefault="0082744C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82744C">
              <w:rPr>
                <w:b/>
                <w:bCs/>
                <w:szCs w:val="24"/>
                <w:lang w:val="en-US"/>
              </w:rPr>
              <w:lastRenderedPageBreak/>
              <w:t>Ewentualne działania przygotowawcze</w:t>
            </w:r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439521EF" w14:textId="7172E08E" w:rsidR="009B1C45" w:rsidRPr="0082744C" w:rsidRDefault="0082744C" w:rsidP="0082744C">
            <w:pPr>
              <w:spacing w:before="120" w:after="120"/>
              <w:rPr>
                <w:szCs w:val="24"/>
                <w:lang w:val="pl-PL"/>
              </w:rPr>
            </w:pPr>
            <w:r w:rsidRPr="0082744C">
              <w:rPr>
                <w:szCs w:val="24"/>
                <w:lang w:val="pl-PL"/>
              </w:rPr>
              <w:t>Przed lekcją uczniowie proszeni są o obserwowanie otaczających ich ludzi. Są proszeni o wysłuchanie otaczających ich ludzi, zwłaszcza ich wspomnień z życia biznesowego, przykładów uczciwości, jakie napotkali podczas podróży życiowych i przykładów swoich osiągnięć.</w:t>
            </w:r>
          </w:p>
        </w:tc>
      </w:tr>
      <w:tr w:rsidR="00895E77" w:rsidRPr="002D14DF" w14:paraId="1D09DE1C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7F138473" w14:textId="35932C66" w:rsidR="00895E77" w:rsidRPr="00BB0A64" w:rsidRDefault="0082744C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82744C">
              <w:rPr>
                <w:b/>
                <w:bCs/>
                <w:szCs w:val="24"/>
                <w:lang w:val="en-US"/>
              </w:rPr>
              <w:t>Oczekiwane rezultaty: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2ACD3227" w14:textId="5B1079AB" w:rsidR="009B1C45" w:rsidRPr="0082744C" w:rsidRDefault="0082744C" w:rsidP="005C0365">
            <w:pPr>
              <w:spacing w:before="120" w:after="120"/>
              <w:rPr>
                <w:szCs w:val="24"/>
                <w:lang w:val="pl-PL"/>
              </w:rPr>
            </w:pPr>
            <w:r w:rsidRPr="0082744C">
              <w:rPr>
                <w:szCs w:val="24"/>
                <w:lang w:val="pl-PL"/>
              </w:rPr>
              <w:t>Aby umożliwić uczniom zrozumienie związku między religią, moralnością i życiem społecznym oraz dostrzeżenie materialnych i światowych korzyści, jakie zapewni im moralność, a także korzyści duchowych i nieziemskich.</w:t>
            </w:r>
          </w:p>
        </w:tc>
      </w:tr>
      <w:tr w:rsidR="00895E77" w:rsidRPr="002D14DF" w14:paraId="653EDD51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1E9A86C8" w14:textId="7A5492E6" w:rsidR="008A2FFF" w:rsidRPr="00BB0A64" w:rsidRDefault="0082744C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82744C">
              <w:rPr>
                <w:b/>
                <w:bCs/>
                <w:szCs w:val="24"/>
                <w:lang w:val="en-US"/>
              </w:rPr>
              <w:t>Oczekiwane</w:t>
            </w:r>
            <w:proofErr w:type="spellEnd"/>
            <w:r w:rsidRPr="0082744C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2744C">
              <w:rPr>
                <w:b/>
                <w:bCs/>
                <w:szCs w:val="24"/>
                <w:lang w:val="en-US"/>
              </w:rPr>
              <w:t>trudności</w:t>
            </w:r>
            <w:proofErr w:type="spellEnd"/>
            <w:r w:rsidRPr="0082744C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29315962" w14:textId="46F46A4A" w:rsidR="00895E77" w:rsidRPr="0082744C" w:rsidRDefault="0082744C" w:rsidP="005C0365">
            <w:pPr>
              <w:spacing w:before="120" w:after="120"/>
              <w:rPr>
                <w:szCs w:val="24"/>
                <w:lang w:val="pl-PL"/>
              </w:rPr>
            </w:pPr>
            <w:r w:rsidRPr="0082744C">
              <w:rPr>
                <w:szCs w:val="24"/>
                <w:lang w:val="pl-PL"/>
              </w:rPr>
              <w:t>Trudności ze zrozumieniem wynikające z abstrakcyjnego charakteru przedmiotu</w:t>
            </w:r>
            <w:r w:rsidR="00F675A3">
              <w:rPr>
                <w:szCs w:val="24"/>
                <w:lang w:val="pl-PL"/>
              </w:rPr>
              <w:t>.</w:t>
            </w:r>
          </w:p>
        </w:tc>
      </w:tr>
      <w:tr w:rsidR="00895E77" w:rsidRPr="002D14DF" w14:paraId="5FDA28C4" w14:textId="77777777" w:rsidTr="00065079">
        <w:trPr>
          <w:gridAfter w:val="1"/>
          <w:wAfter w:w="317" w:type="dxa"/>
          <w:trHeight w:val="200"/>
        </w:trPr>
        <w:tc>
          <w:tcPr>
            <w:tcW w:w="4032" w:type="dxa"/>
            <w:gridSpan w:val="2"/>
            <w:shd w:val="clear" w:color="auto" w:fill="FFE599"/>
          </w:tcPr>
          <w:p w14:paraId="37BD48AA" w14:textId="66E85CBF" w:rsidR="00895E77" w:rsidRPr="00BB0A64" w:rsidRDefault="0082744C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Kontynuacja</w:t>
            </w:r>
            <w:r w:rsidRPr="0082744C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73996C3C" w14:textId="1B13E20F" w:rsidR="00717FAB" w:rsidRPr="0082744C" w:rsidRDefault="0082744C" w:rsidP="0082744C">
            <w:pPr>
              <w:spacing w:before="120" w:after="120"/>
              <w:rPr>
                <w:szCs w:val="24"/>
                <w:lang w:val="pl-PL"/>
              </w:rPr>
            </w:pPr>
            <w:r w:rsidRPr="0082744C">
              <w:rPr>
                <w:szCs w:val="24"/>
                <w:lang w:val="pl-PL"/>
              </w:rPr>
              <w:t>Słuchanie opowieści o moralnych, pozytywnych i negatywnych zachowaniach, których doświadczają w życiu biznesowym, poprzez organizowanie wzorcowych postaci z sektora publicznego i prywatnego, którzy są menedżerami wyższego szczebla lub biznesmenami, w formie 45-minutowych konferencji 1-2 razy w ciągu roku.</w:t>
            </w:r>
          </w:p>
        </w:tc>
      </w:tr>
      <w:tr w:rsidR="00895E77" w14:paraId="7D9E7A07" w14:textId="77777777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57" w:type="dxa"/>
            <w:shd w:val="clear" w:color="auto" w:fill="FFE599"/>
          </w:tcPr>
          <w:p w14:paraId="4F5AC17E" w14:textId="01017FCE" w:rsidR="00895E77" w:rsidRPr="00FA72E0" w:rsidRDefault="00C53F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C53F77">
              <w:rPr>
                <w:b/>
                <w:smallCaps/>
                <w:szCs w:val="24"/>
              </w:rPr>
              <w:t>Czas</w:t>
            </w:r>
          </w:p>
        </w:tc>
        <w:tc>
          <w:tcPr>
            <w:tcW w:w="7508" w:type="dxa"/>
            <w:gridSpan w:val="2"/>
            <w:shd w:val="clear" w:color="auto" w:fill="FFE599"/>
          </w:tcPr>
          <w:p w14:paraId="67BDD3E4" w14:textId="13D2ABD6" w:rsidR="00895E77" w:rsidRPr="00C53F77" w:rsidRDefault="00C53F77" w:rsidP="005C0365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  <w:r w:rsidRPr="00C53F77">
              <w:rPr>
                <w:b/>
                <w:smallCaps/>
                <w:szCs w:val="24"/>
                <w:lang w:val="pl-PL"/>
              </w:rPr>
              <w:t>PROCEDURA (T: NAUCZYCIEL; SS: UCZNIOWIE; O: INNI)</w:t>
            </w:r>
          </w:p>
        </w:tc>
        <w:tc>
          <w:tcPr>
            <w:tcW w:w="5327" w:type="dxa"/>
            <w:gridSpan w:val="2"/>
            <w:shd w:val="clear" w:color="auto" w:fill="FFE599"/>
          </w:tcPr>
          <w:p w14:paraId="7876B8DA" w14:textId="3EE99780" w:rsidR="00895E77" w:rsidRPr="00FA72E0" w:rsidRDefault="00C53F77" w:rsidP="005C0365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C53F77">
              <w:rPr>
                <w:b/>
                <w:szCs w:val="24"/>
              </w:rPr>
              <w:t>Metoda</w:t>
            </w:r>
            <w:proofErr w:type="spellEnd"/>
          </w:p>
        </w:tc>
      </w:tr>
      <w:tr w:rsidR="00895E77" w:rsidRPr="002D14DF" w14:paraId="0A83AEBA" w14:textId="77777777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57" w:type="dxa"/>
            <w:shd w:val="clear" w:color="auto" w:fill="auto"/>
            <w:vAlign w:val="center"/>
          </w:tcPr>
          <w:p w14:paraId="26D0A6A8" w14:textId="6B54A52E" w:rsidR="00895E77" w:rsidRPr="002118F5" w:rsidRDefault="00065079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508" w:type="dxa"/>
            <w:gridSpan w:val="2"/>
            <w:shd w:val="clear" w:color="auto" w:fill="auto"/>
          </w:tcPr>
          <w:p w14:paraId="5A0AAE8B" w14:textId="77777777" w:rsidR="00895E77" w:rsidRPr="00505C5E" w:rsidRDefault="00895E77" w:rsidP="009B1C45">
            <w:pPr>
              <w:rPr>
                <w:b/>
                <w:smallCaps/>
                <w:lang w:val="pl-PL"/>
              </w:rPr>
            </w:pPr>
          </w:p>
          <w:p w14:paraId="539D432D" w14:textId="1C324526" w:rsidR="00C53F77" w:rsidRPr="00C53F77" w:rsidRDefault="00C53F77" w:rsidP="00FB3630">
            <w:pPr>
              <w:pStyle w:val="Bezodstpw"/>
              <w:rPr>
                <w:lang w:val="pl-PL"/>
              </w:rPr>
            </w:pPr>
            <w:r w:rsidRPr="00C53F77">
              <w:rPr>
                <w:lang w:val="pl-PL"/>
              </w:rPr>
              <w:t>A</w:t>
            </w:r>
            <w:r w:rsidR="00F675A3">
              <w:rPr>
                <w:lang w:val="pl-PL"/>
              </w:rPr>
              <w:t xml:space="preserve">. </w:t>
            </w:r>
            <w:r w:rsidR="00FB3630" w:rsidRPr="00C53F77">
              <w:rPr>
                <w:lang w:val="pl-PL"/>
              </w:rPr>
              <w:t xml:space="preserve">Uczniowie proszeni są o napisanie </w:t>
            </w:r>
            <w:r w:rsidR="00FB3630">
              <w:rPr>
                <w:lang w:val="pl-PL"/>
              </w:rPr>
              <w:t xml:space="preserve">na karteczkach samoprzylepnych </w:t>
            </w:r>
            <w:r w:rsidR="00FB3630" w:rsidRPr="00C53F77">
              <w:rPr>
                <w:lang w:val="pl-PL"/>
              </w:rPr>
              <w:t xml:space="preserve">5 podstawowych cnót moralnych, które najbardziej cenią w </w:t>
            </w:r>
            <w:r w:rsidR="00FB3630">
              <w:rPr>
                <w:lang w:val="pl-PL"/>
              </w:rPr>
              <w:t xml:space="preserve">swoim </w:t>
            </w:r>
            <w:r w:rsidR="00FB3630" w:rsidRPr="00C53F77">
              <w:rPr>
                <w:lang w:val="pl-PL"/>
              </w:rPr>
              <w:t>życ</w:t>
            </w:r>
            <w:r w:rsidR="00FB3630">
              <w:rPr>
                <w:lang w:val="pl-PL"/>
              </w:rPr>
              <w:t>iu indywidualnym i społecznym</w:t>
            </w:r>
            <w:r w:rsidRPr="00C53F77">
              <w:rPr>
                <w:lang w:val="pl-PL"/>
              </w:rPr>
              <w:t>.</w:t>
            </w:r>
          </w:p>
          <w:p w14:paraId="270E4F81" w14:textId="322AA693" w:rsidR="00C53F77" w:rsidRPr="007866DC" w:rsidRDefault="00FB3630" w:rsidP="00FB3630">
            <w:pPr>
              <w:pStyle w:val="Bezodstpw"/>
              <w:rPr>
                <w:lang w:val="pl-PL"/>
              </w:rPr>
            </w:pPr>
            <w:r w:rsidRPr="00C53F77">
              <w:rPr>
                <w:lang w:val="pl-PL"/>
              </w:rPr>
              <w:t xml:space="preserve">Celem jest zachęcenie uczniów do zastanowienia się </w:t>
            </w:r>
            <w:r w:rsidRPr="007866DC">
              <w:rPr>
                <w:lang w:val="pl-PL"/>
              </w:rPr>
              <w:t>nad moralnym  podłożeniem działań, które nieustannie wykonują w życiu codziennym bez zbytniego myślenia o tym.</w:t>
            </w:r>
          </w:p>
          <w:p w14:paraId="6B0CCABC" w14:textId="43FF95B1" w:rsidR="00C53F77" w:rsidRPr="007866DC" w:rsidRDefault="00F675A3" w:rsidP="00FB3630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B. </w:t>
            </w:r>
            <w:r w:rsidR="00FB3630" w:rsidRPr="007866DC">
              <w:rPr>
                <w:lang w:val="pl-PL"/>
              </w:rPr>
              <w:t>Następnie uczn</w:t>
            </w:r>
            <w:r w:rsidR="00FB3630">
              <w:rPr>
                <w:lang w:val="pl-PL"/>
              </w:rPr>
              <w:t>iowie proszeni są o przyklejenie</w:t>
            </w:r>
            <w:r w:rsidR="00FB3630">
              <w:rPr>
                <w:szCs w:val="24"/>
                <w:lang w:val="pl-PL"/>
              </w:rPr>
              <w:t xml:space="preserve"> karteczek</w:t>
            </w:r>
            <w:r w:rsidR="00871907">
              <w:rPr>
                <w:lang w:val="pl-PL"/>
              </w:rPr>
              <w:t xml:space="preserve"> </w:t>
            </w:r>
            <w:r w:rsidR="00FB3630" w:rsidRPr="007866DC">
              <w:rPr>
                <w:lang w:val="pl-PL"/>
              </w:rPr>
              <w:t>na tablicy.</w:t>
            </w:r>
          </w:p>
          <w:p w14:paraId="3FE6E2DC" w14:textId="1AF9FCB5" w:rsidR="009B1C45" w:rsidRPr="007866DC" w:rsidRDefault="00871907" w:rsidP="00FB3630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C. </w:t>
            </w:r>
            <w:r w:rsidR="00FB3630" w:rsidRPr="007866DC">
              <w:rPr>
                <w:lang w:val="pl-PL"/>
              </w:rPr>
              <w:t xml:space="preserve">Nauczyciel prosi uczniów, </w:t>
            </w:r>
            <w:r w:rsidR="00FB3630">
              <w:rPr>
                <w:lang w:val="pl-PL"/>
              </w:rPr>
              <w:t xml:space="preserve">aby przeczytali na głos to co napisali na karteczkach, </w:t>
            </w:r>
            <w:r w:rsidR="00FB3630" w:rsidRPr="007866DC">
              <w:rPr>
                <w:lang w:val="pl-PL"/>
              </w:rPr>
              <w:t xml:space="preserve"> w tym momencie cnoty moralne napisa</w:t>
            </w:r>
            <w:r w:rsidR="00FB3630">
              <w:rPr>
                <w:lang w:val="pl-PL"/>
              </w:rPr>
              <w:t>ne przez uczniów są zapisywane</w:t>
            </w:r>
            <w:r w:rsidR="00FB3630" w:rsidRPr="007866DC">
              <w:rPr>
                <w:lang w:val="pl-PL"/>
              </w:rPr>
              <w:t xml:space="preserve"> na tablicy, z jed</w:t>
            </w:r>
            <w:r w:rsidR="00FB3630">
              <w:rPr>
                <w:lang w:val="pl-PL"/>
              </w:rPr>
              <w:t>nej strony są to te, które są wskazane przez większość uczniów</w:t>
            </w:r>
            <w:r w:rsidR="00FB3630" w:rsidRPr="007866DC">
              <w:rPr>
                <w:lang w:val="pl-PL"/>
              </w:rPr>
              <w:t xml:space="preserve">, a </w:t>
            </w:r>
            <w:r w:rsidR="00FB3630">
              <w:rPr>
                <w:lang w:val="pl-PL"/>
              </w:rPr>
              <w:t xml:space="preserve">z drugiej strony te, które zostały wymienione raz. </w:t>
            </w:r>
          </w:p>
          <w:p w14:paraId="049504EF" w14:textId="77777777" w:rsidR="009B1C45" w:rsidRPr="00C53F77" w:rsidRDefault="009B1C45" w:rsidP="00FB3630">
            <w:pPr>
              <w:pStyle w:val="Bezodstpw"/>
              <w:rPr>
                <w:b/>
                <w:lang w:val="pl-PL"/>
              </w:rPr>
            </w:pPr>
          </w:p>
          <w:p w14:paraId="0021A1AC" w14:textId="1799DBE1" w:rsidR="009B1C45" w:rsidRPr="00C53F77" w:rsidRDefault="009B1C45" w:rsidP="009B1C45">
            <w:pPr>
              <w:rPr>
                <w:b/>
                <w:smallCaps/>
                <w:lang w:val="pl-PL"/>
              </w:rPr>
            </w:pPr>
          </w:p>
        </w:tc>
        <w:tc>
          <w:tcPr>
            <w:tcW w:w="5327" w:type="dxa"/>
            <w:gridSpan w:val="2"/>
            <w:shd w:val="clear" w:color="auto" w:fill="auto"/>
          </w:tcPr>
          <w:p w14:paraId="7FAF4B3C" w14:textId="77777777" w:rsidR="00895E77" w:rsidRPr="00C53F77" w:rsidRDefault="00895E77" w:rsidP="009A405D">
            <w:pPr>
              <w:rPr>
                <w:lang w:val="pl-PL"/>
              </w:rPr>
            </w:pPr>
          </w:p>
          <w:p w14:paraId="5D1B0221" w14:textId="77777777" w:rsidR="00C53F77" w:rsidRPr="00E27B5D" w:rsidRDefault="00C53F77" w:rsidP="00E27B5D">
            <w:pPr>
              <w:jc w:val="center"/>
              <w:rPr>
                <w:color w:val="auto"/>
                <w:lang w:val="pl-PL"/>
              </w:rPr>
            </w:pPr>
            <w:r w:rsidRPr="00E27B5D">
              <w:rPr>
                <w:color w:val="auto"/>
                <w:lang w:val="pl-PL"/>
              </w:rPr>
              <w:t>Burza mózgów</w:t>
            </w:r>
          </w:p>
          <w:p w14:paraId="702D9F73" w14:textId="13FFF381" w:rsidR="00C53F77" w:rsidRPr="00E27B5D" w:rsidRDefault="00E27B5D" w:rsidP="00E27B5D">
            <w:pPr>
              <w:jc w:val="center"/>
              <w:rPr>
                <w:color w:val="auto"/>
                <w:lang w:val="pl-PL"/>
              </w:rPr>
            </w:pPr>
            <w:r w:rsidRPr="00E27B5D">
              <w:rPr>
                <w:color w:val="auto"/>
                <w:lang w:val="pl-PL"/>
              </w:rPr>
              <w:t>Badanie l</w:t>
            </w:r>
            <w:r w:rsidR="00C53F77" w:rsidRPr="00E27B5D">
              <w:rPr>
                <w:color w:val="auto"/>
                <w:lang w:val="pl-PL"/>
              </w:rPr>
              <w:t>ndywidualne</w:t>
            </w:r>
          </w:p>
          <w:p w14:paraId="43395BCD" w14:textId="7BE71B6B" w:rsidR="009B1C45" w:rsidRPr="00E27B5D" w:rsidRDefault="009F7DA2" w:rsidP="00E27B5D">
            <w:pPr>
              <w:jc w:val="center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>P</w:t>
            </w:r>
            <w:r w:rsidR="00C53F77" w:rsidRPr="00E27B5D">
              <w:rPr>
                <w:color w:val="auto"/>
                <w:lang w:val="pl-PL"/>
              </w:rPr>
              <w:t>raca rówieśnicza</w:t>
            </w:r>
          </w:p>
        </w:tc>
      </w:tr>
      <w:tr w:rsidR="005A20C3" w:rsidRPr="002D14DF" w14:paraId="677E0A3F" w14:textId="77777777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2FBD5069" w:rsidR="005A20C3" w:rsidRPr="00FA72E0" w:rsidRDefault="0006507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2C6D" w14:textId="554EAE99" w:rsidR="00E27B5D" w:rsidRPr="00E27B5D" w:rsidRDefault="00871907" w:rsidP="00E27B5D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A. Nauczyciel omawia</w:t>
            </w:r>
            <w:r w:rsidR="00E27B5D" w:rsidRPr="007866DC">
              <w:rPr>
                <w:lang w:val="pl-PL"/>
              </w:rPr>
              <w:t>, jakie</w:t>
            </w:r>
            <w:r w:rsidR="00E27B5D" w:rsidRPr="00E27B5D">
              <w:rPr>
                <w:lang w:val="pl-PL"/>
              </w:rPr>
              <w:t xml:space="preserve"> podstawowe cnoty moralne są postrzegane w historii religii, kultury i filozofii.</w:t>
            </w:r>
          </w:p>
          <w:p w14:paraId="70E742E3" w14:textId="76CBDFF4" w:rsidR="00E27B5D" w:rsidRPr="00E27B5D" w:rsidRDefault="00871907" w:rsidP="00E27B5D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B. Podczas wprowadzenia do tematu przez nauczyciela</w:t>
            </w:r>
            <w:r w:rsidR="00E27B5D" w:rsidRPr="00E27B5D">
              <w:rPr>
                <w:lang w:val="pl-PL"/>
              </w:rPr>
              <w:t>, oprócz dyskusji teoretycznych, rozważane są szczególnie refleksje tych dyskusji w życiu praktycznym.</w:t>
            </w:r>
          </w:p>
          <w:p w14:paraId="72FDF0E1" w14:textId="076B68E0" w:rsidR="00E27B5D" w:rsidRPr="00E27B5D" w:rsidRDefault="00871907" w:rsidP="00E27B5D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C. R</w:t>
            </w:r>
            <w:r w:rsidR="00E27B5D" w:rsidRPr="00E27B5D">
              <w:rPr>
                <w:lang w:val="pl-PL"/>
              </w:rPr>
              <w:t>efleksje cnót moralnych w życiu codziennym są wyjaśnione w konkretny sposób, który uczniowie mogą modelować we własnym życiu, podając przykłady historyczne.</w:t>
            </w:r>
          </w:p>
          <w:p w14:paraId="5DEE7105" w14:textId="3CA4097B" w:rsidR="005A20C3" w:rsidRPr="00E27B5D" w:rsidRDefault="00871907" w:rsidP="00E27B5D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D. </w:t>
            </w:r>
            <w:r w:rsidR="00E95220">
              <w:rPr>
                <w:lang w:val="pl-PL"/>
              </w:rPr>
              <w:t xml:space="preserve">Nauczyciel przedstawia uczniom badania socjologiczne, ważne aby je wizualizować za pomocą tabel graficznych. </w:t>
            </w:r>
            <w:r>
              <w:rPr>
                <w:lang w:val="pl-PL"/>
              </w:rPr>
              <w:t>B</w:t>
            </w:r>
            <w:r w:rsidR="00E27B5D" w:rsidRPr="00E27B5D">
              <w:rPr>
                <w:lang w:val="pl-PL"/>
              </w:rPr>
              <w:t>adania socjologiczne, że jednostki moralne są traktowane priorytetowo w życiu społecznym i że jednostki moralne są preferowane w podaniach o pracę i rekrutacjach na wszystkich poziomach, od najmniejszych jednostek po duże organizacje w sektorze publicznym i prywatnym</w:t>
            </w:r>
            <w:r w:rsidR="00E95220">
              <w:rPr>
                <w:lang w:val="pl-PL"/>
              </w:rPr>
              <w:t xml:space="preserve">. 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FBD0" w14:textId="77777777" w:rsidR="007866DC" w:rsidRPr="007866DC" w:rsidRDefault="007866DC" w:rsidP="007866DC">
            <w:pPr>
              <w:spacing w:before="240" w:after="240"/>
              <w:jc w:val="center"/>
              <w:rPr>
                <w:szCs w:val="24"/>
                <w:lang w:val="pl-PL"/>
              </w:rPr>
            </w:pPr>
            <w:r w:rsidRPr="007866DC">
              <w:rPr>
                <w:szCs w:val="24"/>
                <w:lang w:val="pl-PL"/>
              </w:rPr>
              <w:t>Wykład</w:t>
            </w:r>
          </w:p>
          <w:p w14:paraId="03883917" w14:textId="77777777" w:rsidR="007866DC" w:rsidRPr="007866DC" w:rsidRDefault="007866DC" w:rsidP="007866DC">
            <w:pPr>
              <w:spacing w:before="240" w:after="240"/>
              <w:jc w:val="center"/>
              <w:rPr>
                <w:szCs w:val="24"/>
                <w:lang w:val="pl-PL"/>
              </w:rPr>
            </w:pPr>
          </w:p>
          <w:p w14:paraId="1C02CCF9" w14:textId="77777777" w:rsidR="007866DC" w:rsidRPr="007866DC" w:rsidRDefault="007866DC" w:rsidP="007866DC">
            <w:pPr>
              <w:spacing w:before="240" w:after="240"/>
              <w:jc w:val="center"/>
              <w:rPr>
                <w:szCs w:val="24"/>
                <w:lang w:val="pl-PL"/>
              </w:rPr>
            </w:pPr>
            <w:r w:rsidRPr="007866DC">
              <w:rPr>
                <w:szCs w:val="24"/>
                <w:lang w:val="pl-PL"/>
              </w:rPr>
              <w:t>Przykładowe i historyczne tło szczegółowo</w:t>
            </w:r>
          </w:p>
          <w:p w14:paraId="327E26FA" w14:textId="77777777" w:rsidR="007866DC" w:rsidRPr="007866DC" w:rsidRDefault="007866DC" w:rsidP="007866DC">
            <w:pPr>
              <w:spacing w:before="240" w:after="240"/>
              <w:jc w:val="center"/>
              <w:rPr>
                <w:szCs w:val="24"/>
                <w:lang w:val="pl-PL"/>
              </w:rPr>
            </w:pPr>
          </w:p>
          <w:p w14:paraId="16C39028" w14:textId="2CAA1957" w:rsidR="009B1C45" w:rsidRPr="007866DC" w:rsidRDefault="007866DC" w:rsidP="007866DC">
            <w:pPr>
              <w:spacing w:before="240" w:after="240"/>
              <w:jc w:val="center"/>
              <w:rPr>
                <w:b/>
                <w:szCs w:val="24"/>
                <w:lang w:val="pl-PL"/>
              </w:rPr>
            </w:pPr>
            <w:r w:rsidRPr="007866DC">
              <w:rPr>
                <w:szCs w:val="24"/>
                <w:lang w:val="pl-PL"/>
              </w:rPr>
              <w:t>Udostępnianie wyników badań na podstawie konkretnych danych</w:t>
            </w:r>
          </w:p>
        </w:tc>
      </w:tr>
      <w:tr w:rsidR="005A20C3" w:rsidRPr="002D14DF" w14:paraId="026454B3" w14:textId="77777777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43C5E779" w:rsidR="005A20C3" w:rsidRPr="00FA72E0" w:rsidRDefault="0006507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5E6D" w14:textId="18A3E87B" w:rsidR="007866DC" w:rsidRPr="007866DC" w:rsidRDefault="00FB3630" w:rsidP="00FB3630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A. Prezentacja wideo i materiałów wizualnych </w:t>
            </w:r>
            <w:r w:rsidRPr="007866DC">
              <w:rPr>
                <w:lang w:val="pl-PL"/>
              </w:rPr>
              <w:t>przygotowan</w:t>
            </w:r>
            <w:r>
              <w:rPr>
                <w:lang w:val="pl-PL"/>
              </w:rPr>
              <w:t xml:space="preserve">ych przez nauczyciela, opisujących </w:t>
            </w:r>
            <w:r w:rsidRPr="007866DC">
              <w:rPr>
                <w:lang w:val="pl-PL"/>
              </w:rPr>
              <w:t>osiągnięcia jednostek m</w:t>
            </w:r>
            <w:r>
              <w:rPr>
                <w:lang w:val="pl-PL"/>
              </w:rPr>
              <w:t>oralnych w życiu.</w:t>
            </w:r>
          </w:p>
          <w:p w14:paraId="3BE7AD01" w14:textId="71487926" w:rsidR="005A20C3" w:rsidRPr="007866DC" w:rsidRDefault="00FB3630" w:rsidP="00FB3630">
            <w:pPr>
              <w:pStyle w:val="Bezodstpw"/>
              <w:rPr>
                <w:b/>
                <w:lang w:val="pl-PL"/>
              </w:rPr>
            </w:pPr>
            <w:r>
              <w:rPr>
                <w:lang w:val="pl-PL"/>
              </w:rPr>
              <w:t>B. Wyświetlone filmy są oceniane przez uczniów. Ich</w:t>
            </w:r>
            <w:r w:rsidRPr="007866DC">
              <w:rPr>
                <w:lang w:val="pl-PL"/>
              </w:rPr>
              <w:t xml:space="preserve"> celem jest przygot</w:t>
            </w:r>
            <w:r>
              <w:rPr>
                <w:lang w:val="pl-PL"/>
              </w:rPr>
              <w:t xml:space="preserve">owanie gruntu do </w:t>
            </w:r>
            <w:r w:rsidRPr="007866DC">
              <w:rPr>
                <w:lang w:val="pl-PL"/>
              </w:rPr>
              <w:t>dyskusji w klasie i przedstawienie opinii uczniów na ten temat.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10AD" w14:textId="77777777" w:rsidR="007866DC" w:rsidRPr="003B71B2" w:rsidRDefault="007866DC" w:rsidP="007866DC">
            <w:pPr>
              <w:spacing w:before="240" w:after="240"/>
              <w:jc w:val="center"/>
              <w:rPr>
                <w:szCs w:val="24"/>
                <w:lang w:val="pl-PL"/>
              </w:rPr>
            </w:pPr>
            <w:r w:rsidRPr="003B71B2">
              <w:rPr>
                <w:szCs w:val="24"/>
                <w:lang w:val="pl-PL"/>
              </w:rPr>
              <w:t>Wizualny monitoring materiałów</w:t>
            </w:r>
          </w:p>
          <w:p w14:paraId="68A5B987" w14:textId="77777777" w:rsidR="007866DC" w:rsidRPr="003B71B2" w:rsidRDefault="007866DC" w:rsidP="007866DC">
            <w:pPr>
              <w:spacing w:before="240" w:after="240"/>
              <w:jc w:val="center"/>
              <w:rPr>
                <w:szCs w:val="24"/>
                <w:lang w:val="pl-PL"/>
              </w:rPr>
            </w:pPr>
          </w:p>
          <w:p w14:paraId="2AE0853E" w14:textId="38CB5379" w:rsidR="009B1C45" w:rsidRPr="007866DC" w:rsidRDefault="007866DC" w:rsidP="007866DC">
            <w:pPr>
              <w:spacing w:before="240" w:after="240"/>
              <w:jc w:val="center"/>
              <w:rPr>
                <w:b/>
                <w:szCs w:val="24"/>
                <w:lang w:val="pl-PL"/>
              </w:rPr>
            </w:pPr>
            <w:r w:rsidRPr="003B71B2">
              <w:rPr>
                <w:szCs w:val="24"/>
                <w:lang w:val="pl-PL"/>
              </w:rPr>
              <w:t>Dyskusja grupowa</w:t>
            </w:r>
          </w:p>
        </w:tc>
      </w:tr>
      <w:tr w:rsidR="00065079" w:rsidRPr="002D14DF" w14:paraId="609B82FD" w14:textId="77777777" w:rsidTr="00065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8215" w14:textId="41261DF4" w:rsidR="00065079" w:rsidRPr="00FA72E0" w:rsidRDefault="007526E7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10’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0B45" w14:textId="2C368918" w:rsidR="007866DC" w:rsidRPr="007866DC" w:rsidRDefault="00E95220" w:rsidP="00FB3630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A. </w:t>
            </w:r>
            <w:r w:rsidR="00FB3630" w:rsidRPr="007866DC">
              <w:rPr>
                <w:lang w:val="pl-PL"/>
              </w:rPr>
              <w:t>W tej części lekcji nauczyciel może poprosić uczniów o wyrażenie swoich opinii, jednocześnie informując uczniów o wkładzie cnót moralnych w życie człowieka.</w:t>
            </w:r>
          </w:p>
          <w:p w14:paraId="67BF11B5" w14:textId="4DC7E689" w:rsidR="007866DC" w:rsidRPr="007866DC" w:rsidRDefault="00E95220" w:rsidP="00FB3630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B. </w:t>
            </w:r>
            <w:r w:rsidR="00FB3630" w:rsidRPr="007866DC">
              <w:rPr>
                <w:lang w:val="pl-PL"/>
              </w:rPr>
              <w:t xml:space="preserve">Lekcję uzupełniają końcowe zdania o osiągnięciach jednostek moralnych w życiu, ich przykładach i ich wpływie na planowanie kariery, oparte na własnych doświadczeniach z własnego życia oraz na tym, czego słuchali, </w:t>
            </w:r>
            <w:r w:rsidR="00FB3630" w:rsidRPr="007866DC">
              <w:rPr>
                <w:lang w:val="pl-PL"/>
              </w:rPr>
              <w:lastRenderedPageBreak/>
              <w:t>słyszeli i czytali.</w:t>
            </w:r>
          </w:p>
          <w:p w14:paraId="28173D13" w14:textId="794E427F" w:rsidR="007866DC" w:rsidRPr="007866DC" w:rsidRDefault="00E95220" w:rsidP="00FB3630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C. </w:t>
            </w:r>
            <w:r w:rsidR="00FB3630" w:rsidRPr="007866DC">
              <w:rPr>
                <w:lang w:val="pl-PL"/>
              </w:rPr>
              <w:t>Niezależnie od tego, jaki zawód wybiorą, kiedy uczniowi</w:t>
            </w:r>
            <w:r w:rsidR="00FB3630">
              <w:rPr>
                <w:lang w:val="pl-PL"/>
              </w:rPr>
              <w:t>e uczęszczają na zajęcia religii lub etyki, zajęcia te będą miały wpływ</w:t>
            </w:r>
            <w:r w:rsidR="007866DC" w:rsidRPr="007866DC">
              <w:rPr>
                <w:lang w:val="pl-PL"/>
              </w:rPr>
              <w:t xml:space="preserve"> </w:t>
            </w:r>
            <w:r w:rsidR="00FB3630">
              <w:rPr>
                <w:lang w:val="pl-PL"/>
              </w:rPr>
              <w:t xml:space="preserve">na </w:t>
            </w:r>
            <w:r w:rsidR="00FB3630" w:rsidRPr="007866DC">
              <w:rPr>
                <w:lang w:val="pl-PL"/>
              </w:rPr>
              <w:t>kształtowanie ich osobowości oraz siłę materialną i moralną, jaką zdobędą w planowaniu kariery</w:t>
            </w:r>
            <w:r w:rsidR="00FB3630">
              <w:rPr>
                <w:lang w:val="pl-PL"/>
              </w:rPr>
              <w:t xml:space="preserve"> zawodowej.</w:t>
            </w:r>
            <w:r w:rsidR="00FB3630" w:rsidRPr="007866DC">
              <w:rPr>
                <w:lang w:val="pl-PL"/>
              </w:rPr>
              <w:t xml:space="preserve"> W wyniku r</w:t>
            </w:r>
            <w:r w:rsidR="00FB3630">
              <w:rPr>
                <w:lang w:val="pl-PL"/>
              </w:rPr>
              <w:t>ealizacji zdobytych tutaj korzyści</w:t>
            </w:r>
            <w:r w:rsidR="00FB3630" w:rsidRPr="007866DC">
              <w:rPr>
                <w:lang w:val="pl-PL"/>
              </w:rPr>
              <w:t>, są przekazywane</w:t>
            </w:r>
            <w:r w:rsidR="00FB3630">
              <w:rPr>
                <w:lang w:val="pl-PL"/>
              </w:rPr>
              <w:t xml:space="preserve"> uczniowi przez nauczyciela</w:t>
            </w:r>
            <w:r w:rsidR="007866DC" w:rsidRPr="007866DC">
              <w:rPr>
                <w:lang w:val="pl-PL"/>
              </w:rPr>
              <w:t>.</w:t>
            </w:r>
          </w:p>
          <w:p w14:paraId="33DE2709" w14:textId="477A545D" w:rsidR="00065079" w:rsidRPr="007866DC" w:rsidRDefault="00505859" w:rsidP="00FB3630">
            <w:pPr>
              <w:pStyle w:val="Bezodstpw"/>
              <w:rPr>
                <w:b/>
                <w:lang w:val="pl-PL"/>
              </w:rPr>
            </w:pPr>
            <w:r>
              <w:rPr>
                <w:lang w:val="pl-PL"/>
              </w:rPr>
              <w:t xml:space="preserve">D. </w:t>
            </w:r>
            <w:r w:rsidR="00FB3630" w:rsidRPr="007866DC">
              <w:rPr>
                <w:lang w:val="pl-PL"/>
              </w:rPr>
              <w:t xml:space="preserve">Jeśli uczniowie </w:t>
            </w:r>
            <w:r w:rsidR="00FB3630">
              <w:rPr>
                <w:lang w:val="pl-PL"/>
              </w:rPr>
              <w:t>mają pytania, są one</w:t>
            </w:r>
            <w:r w:rsidR="00FB3630" w:rsidRPr="007866DC">
              <w:rPr>
                <w:lang w:val="pl-PL"/>
              </w:rPr>
              <w:t xml:space="preserve"> wyjaśniane przez nauczyciela</w:t>
            </w:r>
            <w:r w:rsidR="007866DC" w:rsidRPr="007866DC">
              <w:rPr>
                <w:b/>
                <w:lang w:val="pl-PL"/>
              </w:rPr>
              <w:t>.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947C" w14:textId="77777777" w:rsidR="007866DC" w:rsidRPr="003B71B2" w:rsidRDefault="007866DC" w:rsidP="007866DC">
            <w:pPr>
              <w:spacing w:before="240" w:after="240"/>
              <w:jc w:val="center"/>
              <w:rPr>
                <w:lang w:val="pl-PL"/>
              </w:rPr>
            </w:pPr>
            <w:r w:rsidRPr="003B71B2">
              <w:rPr>
                <w:lang w:val="pl-PL"/>
              </w:rPr>
              <w:lastRenderedPageBreak/>
              <w:t>Dyskusja grupowa i Oświadczenie o opinii</w:t>
            </w:r>
          </w:p>
          <w:p w14:paraId="618B2FAA" w14:textId="77777777" w:rsidR="007866DC" w:rsidRPr="003B71B2" w:rsidRDefault="007866DC" w:rsidP="007866DC">
            <w:pPr>
              <w:spacing w:before="240" w:after="240"/>
              <w:jc w:val="center"/>
              <w:rPr>
                <w:lang w:val="pl-PL"/>
              </w:rPr>
            </w:pPr>
          </w:p>
          <w:p w14:paraId="33B065B3" w14:textId="77777777" w:rsidR="007866DC" w:rsidRPr="00505C5E" w:rsidRDefault="007866DC" w:rsidP="007866DC">
            <w:pPr>
              <w:spacing w:before="240" w:after="240"/>
              <w:jc w:val="center"/>
              <w:rPr>
                <w:lang w:val="pl-PL"/>
              </w:rPr>
            </w:pPr>
            <w:r w:rsidRPr="00505C5E">
              <w:rPr>
                <w:lang w:val="pl-PL"/>
              </w:rPr>
              <w:t>Dzielenie się doświadczeniami</w:t>
            </w:r>
          </w:p>
          <w:p w14:paraId="3B035664" w14:textId="77777777" w:rsidR="00FB3630" w:rsidRDefault="00FB3630" w:rsidP="007866DC">
            <w:pPr>
              <w:spacing w:before="240" w:after="240"/>
              <w:jc w:val="center"/>
              <w:rPr>
                <w:lang w:val="pl-PL"/>
              </w:rPr>
            </w:pPr>
          </w:p>
          <w:p w14:paraId="3D4E0228" w14:textId="77777777" w:rsidR="007866DC" w:rsidRPr="00505C5E" w:rsidRDefault="007866DC" w:rsidP="007866DC">
            <w:pPr>
              <w:spacing w:before="240" w:after="240"/>
              <w:jc w:val="center"/>
              <w:rPr>
                <w:lang w:val="pl-PL"/>
              </w:rPr>
            </w:pPr>
            <w:r w:rsidRPr="00505C5E">
              <w:rPr>
                <w:lang w:val="pl-PL"/>
              </w:rPr>
              <w:t>Wykład</w:t>
            </w:r>
          </w:p>
          <w:p w14:paraId="74B5882D" w14:textId="77777777" w:rsidR="007866DC" w:rsidRPr="00505C5E" w:rsidRDefault="007866DC" w:rsidP="007866DC">
            <w:pPr>
              <w:spacing w:before="240" w:after="240"/>
              <w:jc w:val="center"/>
              <w:rPr>
                <w:lang w:val="pl-PL"/>
              </w:rPr>
            </w:pPr>
          </w:p>
          <w:p w14:paraId="6C8C6214" w14:textId="733629C5" w:rsidR="00065079" w:rsidRPr="00505C5E" w:rsidRDefault="007866DC" w:rsidP="007866DC">
            <w:pPr>
              <w:spacing w:before="240" w:after="240"/>
              <w:jc w:val="center"/>
              <w:rPr>
                <w:lang w:val="pl-PL"/>
              </w:rPr>
            </w:pPr>
            <w:r w:rsidRPr="00505C5E">
              <w:rPr>
                <w:lang w:val="pl-PL"/>
              </w:rPr>
              <w:t>Pytanie odpowiedź</w:t>
            </w:r>
          </w:p>
        </w:tc>
      </w:tr>
    </w:tbl>
    <w:p w14:paraId="5E120658" w14:textId="77777777" w:rsidR="005A20C3" w:rsidRPr="00505C5E" w:rsidRDefault="005A20C3">
      <w:pPr>
        <w:rPr>
          <w:lang w:val="pl-PL"/>
        </w:rPr>
      </w:pPr>
    </w:p>
    <w:p w14:paraId="383DB3D7" w14:textId="77777777" w:rsidR="00542A74" w:rsidRPr="00505C5E" w:rsidRDefault="00542A74">
      <w:pPr>
        <w:rPr>
          <w:b/>
          <w:smallCaps/>
          <w:szCs w:val="24"/>
          <w:lang w:val="pl-PL"/>
        </w:rPr>
      </w:pPr>
    </w:p>
    <w:p w14:paraId="3BB6F1D7" w14:textId="77777777" w:rsidR="009B1C45" w:rsidRPr="00505C5E" w:rsidRDefault="009B1C45">
      <w:pPr>
        <w:rPr>
          <w:lang w:val="pl-PL"/>
        </w:rPr>
      </w:pPr>
    </w:p>
    <w:sectPr w:rsidR="009B1C45" w:rsidRPr="00505C5E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9B513" w14:textId="77777777" w:rsidR="00A260E2" w:rsidRDefault="00A260E2" w:rsidP="00895E77">
      <w:r>
        <w:separator/>
      </w:r>
    </w:p>
  </w:endnote>
  <w:endnote w:type="continuationSeparator" w:id="0">
    <w:p w14:paraId="0E220CBB" w14:textId="77777777" w:rsidR="00A260E2" w:rsidRDefault="00A260E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C895B" w14:textId="77777777" w:rsidR="002D14DF" w:rsidRDefault="002D14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C9B74" w14:textId="7E5475E3" w:rsidR="002D14DF" w:rsidRDefault="002D14DF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3B799B" wp14:editId="0B056A4E">
              <wp:simplePos x="0" y="0"/>
              <wp:positionH relativeFrom="column">
                <wp:posOffset>-289560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8F1CC" w14:textId="77777777" w:rsidR="002D14DF" w:rsidRPr="00665D1C" w:rsidRDefault="002D14DF" w:rsidP="002D14D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2AB237" w14:textId="77777777" w:rsidR="002D14DF" w:rsidRPr="005B584A" w:rsidRDefault="002D14DF" w:rsidP="002D14D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D03A040" w14:textId="77777777" w:rsidR="002D14DF" w:rsidRDefault="002D14DF" w:rsidP="002D14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8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nhEM7hAAAACwEAAA8AAABkcnMvZG93bnJl&#10;di54bWxMj8Fqg0AQhu+FvsMyhd6S1VSlWtcQQttTKDQplN4mOlGJOyvuRs3bd3NqbzPMxz/fn69n&#10;3YmRBtsaVhAuAxDEpalarhV8Hd4WzyCsQ66wM0wKrmRhXdzf5ZhVZuJPGveuFj6EbYYKGuf6TEpb&#10;NqTRLk1P7G8nM2h0fh1qWQ04+XDdyVUQJFJjy/5Dgz1tGyrP+4tW8D7htHkKX8fd+bS9/hzij+9d&#10;SEo9PsybFxCOZvcHw03fq0PhnY7mwpUVnYJFFCce9cMqCEHciChOIxBHBUmagixy+b9D8Qs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SeEQzu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B08F1CC" w14:textId="77777777" w:rsidR="002D14DF" w:rsidRPr="00665D1C" w:rsidRDefault="002D14DF" w:rsidP="002D14D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C2AB237" w14:textId="77777777" w:rsidR="002D14DF" w:rsidRPr="005B584A" w:rsidRDefault="002D14DF" w:rsidP="002D14D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D03A040" w14:textId="77777777" w:rsidR="002D14DF" w:rsidRDefault="002D14DF" w:rsidP="002D14D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90E99" w14:textId="77777777" w:rsidR="002D14DF" w:rsidRDefault="002D14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A7400" w14:textId="77777777" w:rsidR="00A260E2" w:rsidRDefault="00A260E2" w:rsidP="00895E77">
      <w:r>
        <w:separator/>
      </w:r>
    </w:p>
  </w:footnote>
  <w:footnote w:type="continuationSeparator" w:id="0">
    <w:p w14:paraId="296D7B85" w14:textId="77777777" w:rsidR="00A260E2" w:rsidRDefault="00A260E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D486C" w14:textId="77777777" w:rsidR="002D14DF" w:rsidRDefault="002D14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CDDC" w14:textId="77777777" w:rsidR="002D14DF" w:rsidRDefault="002D14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65079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D14DF"/>
    <w:rsid w:val="002D4A29"/>
    <w:rsid w:val="002F258F"/>
    <w:rsid w:val="002F3A5A"/>
    <w:rsid w:val="00304CDD"/>
    <w:rsid w:val="00333083"/>
    <w:rsid w:val="003669BF"/>
    <w:rsid w:val="003A7BFF"/>
    <w:rsid w:val="003B71B2"/>
    <w:rsid w:val="003D15D2"/>
    <w:rsid w:val="003E487A"/>
    <w:rsid w:val="003F62BB"/>
    <w:rsid w:val="00414FD6"/>
    <w:rsid w:val="00426C8E"/>
    <w:rsid w:val="00460CA4"/>
    <w:rsid w:val="00496775"/>
    <w:rsid w:val="004A7206"/>
    <w:rsid w:val="004B1C85"/>
    <w:rsid w:val="004D2329"/>
    <w:rsid w:val="004F1D5A"/>
    <w:rsid w:val="004F4AE3"/>
    <w:rsid w:val="00505859"/>
    <w:rsid w:val="00505C5E"/>
    <w:rsid w:val="00542A74"/>
    <w:rsid w:val="00584F11"/>
    <w:rsid w:val="00595696"/>
    <w:rsid w:val="005A20C3"/>
    <w:rsid w:val="005A6941"/>
    <w:rsid w:val="005C448D"/>
    <w:rsid w:val="005D0747"/>
    <w:rsid w:val="00606462"/>
    <w:rsid w:val="00654440"/>
    <w:rsid w:val="00660A8F"/>
    <w:rsid w:val="006F771D"/>
    <w:rsid w:val="0070601F"/>
    <w:rsid w:val="0071059B"/>
    <w:rsid w:val="00717FAB"/>
    <w:rsid w:val="007526E7"/>
    <w:rsid w:val="0078080B"/>
    <w:rsid w:val="007866DC"/>
    <w:rsid w:val="00791269"/>
    <w:rsid w:val="00814CB4"/>
    <w:rsid w:val="00816734"/>
    <w:rsid w:val="00823545"/>
    <w:rsid w:val="0082744C"/>
    <w:rsid w:val="00871907"/>
    <w:rsid w:val="00874434"/>
    <w:rsid w:val="00895E77"/>
    <w:rsid w:val="008A2FFF"/>
    <w:rsid w:val="008A7DA1"/>
    <w:rsid w:val="008C3A07"/>
    <w:rsid w:val="0090149C"/>
    <w:rsid w:val="00906142"/>
    <w:rsid w:val="009A405D"/>
    <w:rsid w:val="009B1C45"/>
    <w:rsid w:val="009B5E61"/>
    <w:rsid w:val="009D3288"/>
    <w:rsid w:val="009F5937"/>
    <w:rsid w:val="009F7DA2"/>
    <w:rsid w:val="00A25956"/>
    <w:rsid w:val="00A260E2"/>
    <w:rsid w:val="00A310EB"/>
    <w:rsid w:val="00A32520"/>
    <w:rsid w:val="00A90269"/>
    <w:rsid w:val="00A90ED8"/>
    <w:rsid w:val="00AD7B25"/>
    <w:rsid w:val="00AE1090"/>
    <w:rsid w:val="00B25E3E"/>
    <w:rsid w:val="00B552C5"/>
    <w:rsid w:val="00BC48D3"/>
    <w:rsid w:val="00C13A72"/>
    <w:rsid w:val="00C34E11"/>
    <w:rsid w:val="00C53DAD"/>
    <w:rsid w:val="00C53F77"/>
    <w:rsid w:val="00C57BBD"/>
    <w:rsid w:val="00C60C81"/>
    <w:rsid w:val="00C641DA"/>
    <w:rsid w:val="00CA69DC"/>
    <w:rsid w:val="00CD588D"/>
    <w:rsid w:val="00CF6CC0"/>
    <w:rsid w:val="00D01BA2"/>
    <w:rsid w:val="00D03035"/>
    <w:rsid w:val="00D37453"/>
    <w:rsid w:val="00D808CB"/>
    <w:rsid w:val="00D82D16"/>
    <w:rsid w:val="00DA0A93"/>
    <w:rsid w:val="00DF3F01"/>
    <w:rsid w:val="00E05E6F"/>
    <w:rsid w:val="00E27B5D"/>
    <w:rsid w:val="00E30B78"/>
    <w:rsid w:val="00E41181"/>
    <w:rsid w:val="00E5450C"/>
    <w:rsid w:val="00E55B84"/>
    <w:rsid w:val="00E95220"/>
    <w:rsid w:val="00ED3E53"/>
    <w:rsid w:val="00EF49AD"/>
    <w:rsid w:val="00F05BD7"/>
    <w:rsid w:val="00F56CEA"/>
    <w:rsid w:val="00F6664C"/>
    <w:rsid w:val="00F675A3"/>
    <w:rsid w:val="00F81529"/>
    <w:rsid w:val="00F864A5"/>
    <w:rsid w:val="00FB3630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4B1C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C8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hwtze">
    <w:name w:val="hwtze"/>
    <w:basedOn w:val="Domylnaczcionkaakapitu"/>
    <w:rsid w:val="00660A8F"/>
  </w:style>
  <w:style w:type="character" w:customStyle="1" w:styleId="rynqvb">
    <w:name w:val="rynqvb"/>
    <w:basedOn w:val="Domylnaczcionkaakapitu"/>
    <w:rsid w:val="00660A8F"/>
  </w:style>
  <w:style w:type="paragraph" w:styleId="Bezodstpw">
    <w:name w:val="No Spacing"/>
    <w:uiPriority w:val="1"/>
    <w:qFormat/>
    <w:rsid w:val="00FB36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2D14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4B1C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C8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hwtze">
    <w:name w:val="hwtze"/>
    <w:basedOn w:val="Domylnaczcionkaakapitu"/>
    <w:rsid w:val="00660A8F"/>
  </w:style>
  <w:style w:type="character" w:customStyle="1" w:styleId="rynqvb">
    <w:name w:val="rynqvb"/>
    <w:basedOn w:val="Domylnaczcionkaakapitu"/>
    <w:rsid w:val="00660A8F"/>
  </w:style>
  <w:style w:type="paragraph" w:styleId="Bezodstpw">
    <w:name w:val="No Spacing"/>
    <w:uiPriority w:val="1"/>
    <w:qFormat/>
    <w:rsid w:val="00FB36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2D1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BC81-E24F-4F88-B023-D39D6CE9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2023-05-17T22:05:00Z</dcterms:created>
  <dcterms:modified xsi:type="dcterms:W3CDTF">2023-10-05T10:16:00Z</dcterms:modified>
</cp:coreProperties>
</file>