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04432613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895E77" w:rsidRPr="00BB0A64" w:rsidRDefault="00D4186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276439FB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997C63">
              <w:rPr>
                <w:sz w:val="22"/>
                <w:szCs w:val="22"/>
              </w:rPr>
              <w:t>14 – 18</w:t>
            </w:r>
          </w:p>
        </w:tc>
      </w:tr>
      <w:tr w:rsidR="00D4186C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157C58CC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134FD77E" w:rsidR="00D4186C" w:rsidRPr="00997C63" w:rsidRDefault="00997C63" w:rsidP="00997C6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276" w:lineRule="auto"/>
              <w:rPr>
                <w:color w:val="202124"/>
                <w:szCs w:val="24"/>
                <w:lang w:val="ro-RO" w:eastAsia="ro-RO"/>
              </w:rPr>
            </w:pPr>
            <w:r w:rsidRPr="00997C63">
              <w:rPr>
                <w:color w:val="202124"/>
                <w:szCs w:val="24"/>
                <w:lang w:val="ro-RO" w:eastAsia="ro-RO"/>
              </w:rPr>
              <w:t>Numere reale fără secrete. Lecție de re</w:t>
            </w:r>
            <w:r>
              <w:rPr>
                <w:color w:val="202124"/>
                <w:szCs w:val="24"/>
                <w:lang w:val="ro-RO" w:eastAsia="ro-RO"/>
              </w:rPr>
              <w:t>capitula</w:t>
            </w:r>
            <w:r w:rsidRPr="00997C63">
              <w:rPr>
                <w:color w:val="202124"/>
                <w:szCs w:val="24"/>
                <w:lang w:val="ro-RO" w:eastAsia="ro-RO"/>
              </w:rPr>
              <w:t>re sau consolidare.</w:t>
            </w:r>
          </w:p>
        </w:tc>
      </w:tr>
      <w:tr w:rsidR="00D4186C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292F776B" w:rsidR="00D4186C" w:rsidRPr="00BB0A64" w:rsidRDefault="00997C63" w:rsidP="00D4186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Matematică</w:t>
            </w:r>
            <w:proofErr w:type="spellEnd"/>
          </w:p>
        </w:tc>
      </w:tr>
      <w:tr w:rsidR="00D4186C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69B4508" w14:textId="736D3CE8" w:rsidR="00997C63" w:rsidRPr="00997C63" w:rsidRDefault="00997C63" w:rsidP="000C4CB7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Folosirea</w:t>
            </w:r>
            <w:r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fluent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 a</w:t>
            </w:r>
            <w:r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numerel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or</w:t>
            </w:r>
            <w:r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, cunoaște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rea</w:t>
            </w:r>
            <w:r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metode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lor</w:t>
            </w:r>
            <w:r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de calcul rapid, proprietățile numerelor, înregistrarea lor.</w:t>
            </w:r>
          </w:p>
          <w:p w14:paraId="01D4D2D1" w14:textId="0EBB44A7" w:rsidR="00D4186C" w:rsidRPr="00997C63" w:rsidRDefault="00997C63" w:rsidP="000C4CB7">
            <w:pPr>
              <w:pStyle w:val="HTML-wstpniesformatowany"/>
              <w:shd w:val="clear" w:color="auto" w:fill="F8F9FA"/>
              <w:spacing w:after="24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</w:t>
            </w:r>
            <w:r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care lucrează sub presiunea timpului nu fac greșeli.</w:t>
            </w:r>
          </w:p>
        </w:tc>
      </w:tr>
      <w:tr w:rsidR="00997C63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997C63" w:rsidRPr="00BB0A64" w:rsidRDefault="00997C63" w:rsidP="00997C63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009A7F45" w:rsidR="00997C63" w:rsidRPr="00BB0A64" w:rsidRDefault="00997C63" w:rsidP="00997C63">
            <w:pPr>
              <w:spacing w:before="120" w:after="120"/>
              <w:rPr>
                <w:szCs w:val="24"/>
                <w:lang w:val="en-US"/>
              </w:rPr>
            </w:pPr>
            <w:r>
              <w:t>Individual</w:t>
            </w:r>
          </w:p>
        </w:tc>
      </w:tr>
      <w:tr w:rsidR="00997C63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997C63" w:rsidRPr="00BB0A64" w:rsidRDefault="00997C63" w:rsidP="00997C63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771DE9E7" w:rsidR="00997C63" w:rsidRPr="00BB0A64" w:rsidRDefault="00997C63" w:rsidP="00997C63">
            <w:pPr>
              <w:spacing w:before="120" w:after="120"/>
              <w:rPr>
                <w:szCs w:val="24"/>
                <w:lang w:val="en-US"/>
              </w:rPr>
            </w:pPr>
            <w:r>
              <w:t>10-15’</w:t>
            </w:r>
          </w:p>
        </w:tc>
      </w:tr>
      <w:tr w:rsidR="00997C63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997C63" w:rsidRPr="00BB0A64" w:rsidRDefault="00997C63" w:rsidP="00997C63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282774DB" w:rsidR="00997C63" w:rsidRPr="00997C63" w:rsidRDefault="00997C63" w:rsidP="00997C63">
            <w:pPr>
              <w:pStyle w:val="HTML-wstpniesformatowany"/>
              <w:shd w:val="clear" w:color="auto" w:fill="F8F9FA"/>
              <w:spacing w:before="24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Crash test, cuvinte încrucișate, telefon mobil, computer, tablă interactivă.</w:t>
            </w:r>
          </w:p>
        </w:tc>
      </w:tr>
      <w:tr w:rsidR="00997C63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997C63" w:rsidRPr="00BB0A64" w:rsidRDefault="00997C63" w:rsidP="00997C63">
            <w:pPr>
              <w:spacing w:before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62110B1" w14:textId="77777777" w:rsidR="00997C63" w:rsidRPr="00997C63" w:rsidRDefault="00997C63" w:rsidP="00997C63">
            <w:pPr>
              <w:pStyle w:val="HTML-wstpniesformatowany"/>
              <w:shd w:val="clear" w:color="auto" w:fill="F8F9FA"/>
              <w:spacing w:before="240"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Competență matematică – abilități de gândire logică și analitică.</w:t>
            </w:r>
          </w:p>
          <w:p w14:paraId="0B4D8743" w14:textId="67C7441D" w:rsidR="00997C63" w:rsidRPr="00997C63" w:rsidRDefault="00997C63" w:rsidP="00997C63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Competență de calculator – utilizarea abil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</w:t>
            </w:r>
            <w:r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a unui computer și a altor elemente multimedia pentru a participa la cooperarea online.</w:t>
            </w:r>
          </w:p>
        </w:tc>
      </w:tr>
      <w:tr w:rsidR="00997C63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997C63" w:rsidRPr="00BB0A64" w:rsidRDefault="00997C63" w:rsidP="00997C63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ED774F5" w14:textId="004469AF" w:rsidR="00997C63" w:rsidRPr="00997C63" w:rsidRDefault="00997C63" w:rsidP="000C4CB7">
            <w:pPr>
              <w:pStyle w:val="HTML-wstpniesformatowany"/>
              <w:shd w:val="clear" w:color="auto" w:fill="F8F9FA"/>
              <w:spacing w:line="360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Rea</w:t>
            </w:r>
            <w:r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mintirea informațiilor despre caracteristicile divizibilității, inclusiv împărțirea inovatoare cu 7.</w:t>
            </w:r>
          </w:p>
          <w:p w14:paraId="5AAEBD9C" w14:textId="77777777" w:rsidR="00997C63" w:rsidRPr="00997C63" w:rsidRDefault="00997C63" w:rsidP="000C4CB7">
            <w:pPr>
              <w:pStyle w:val="HTML-wstpniesformatowany"/>
              <w:shd w:val="clear" w:color="auto" w:fill="F8F9FA"/>
              <w:spacing w:line="360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Introducerea înmulțirii rapide a XY cu XZ, unde Y+Z=10.</w:t>
            </w:r>
          </w:p>
          <w:p w14:paraId="7CACE502" w14:textId="77777777" w:rsidR="00997C63" w:rsidRPr="00997C63" w:rsidRDefault="00997C63" w:rsidP="000C4CB7">
            <w:pPr>
              <w:pStyle w:val="HTML-wstpniesformatowany"/>
              <w:shd w:val="clear" w:color="auto" w:fill="F8F9FA"/>
              <w:spacing w:line="360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Introducerea înmulțirii rapide a lui YX cu ZX, unde Y+Z=10.</w:t>
            </w:r>
          </w:p>
          <w:p w14:paraId="0FDA67AE" w14:textId="51C51257" w:rsidR="00997C63" w:rsidRPr="00997C63" w:rsidRDefault="00997C63" w:rsidP="000C4CB7">
            <w:pPr>
              <w:pStyle w:val="HTML-wstpniesformatowany"/>
              <w:shd w:val="clear" w:color="auto" w:fill="F8F9FA"/>
              <w:spacing w:line="360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Introducerea exponen</w:t>
            </w:r>
            <w:r w:rsidR="000C4CB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țierei</w:t>
            </w:r>
            <w:r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 5 la final.</w:t>
            </w:r>
          </w:p>
          <w:p w14:paraId="439521EF" w14:textId="29CFC9DF" w:rsidR="00997C63" w:rsidRPr="00997C63" w:rsidRDefault="000C4CB7" w:rsidP="000C4CB7">
            <w:pPr>
              <w:pStyle w:val="HTML-wstpniesformatowany"/>
              <w:shd w:val="clear" w:color="auto" w:fill="F8F9FA"/>
              <w:spacing w:line="360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Rea</w:t>
            </w:r>
            <w:r w:rsidR="00997C63"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minti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rea</w:t>
            </w:r>
            <w:r w:rsidR="00997C63"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notați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ei</w:t>
            </w:r>
            <w:r w:rsidR="00997C63"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numeric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="00997C63" w:rsidRPr="00997C6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în sistemul roman.</w:t>
            </w:r>
          </w:p>
        </w:tc>
      </w:tr>
      <w:tr w:rsidR="00997C63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997C63" w:rsidRPr="00BB0A64" w:rsidRDefault="00997C63" w:rsidP="00997C63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lastRenderedPageBreak/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32124671" w:rsidR="00997C63" w:rsidRPr="000C4CB7" w:rsidRDefault="000C4CB7" w:rsidP="000C4CB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0C4CB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lev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ii</w:t>
            </w:r>
            <w:r w:rsidRPr="000C4CB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efectuează fluent operații cu numere fără a utiliza un calculator, exploatând caracteristici interesante ale numerelor.</w:t>
            </w:r>
          </w:p>
        </w:tc>
      </w:tr>
      <w:tr w:rsidR="00997C63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997C63" w:rsidRPr="00BB0A64" w:rsidRDefault="00997C63" w:rsidP="00997C63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5FD27166" w:rsidR="00997C63" w:rsidRPr="000C4CB7" w:rsidRDefault="000C4CB7" w:rsidP="000C4CB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C4CB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 nu au învățat suficient de bine tabla înmulțirii, eficiență scăzută de numărare fără un calculator.</w:t>
            </w:r>
          </w:p>
        </w:tc>
      </w:tr>
      <w:tr w:rsidR="00997C63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997C63" w:rsidRPr="00BB0A64" w:rsidRDefault="00997C63" w:rsidP="00997C63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039175ED" w:rsidR="00997C63" w:rsidRPr="000C4CB7" w:rsidRDefault="000C4CB7" w:rsidP="000C4CB7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C4CB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Îmbunătățirea eficienței numărării la fiecare lecție.</w:t>
            </w:r>
          </w:p>
        </w:tc>
      </w:tr>
      <w:tr w:rsidR="00997C63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997C63" w:rsidRPr="00FA72E0" w:rsidRDefault="00997C63" w:rsidP="00997C63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997C63" w:rsidRPr="00FA72E0" w:rsidRDefault="00997C63" w:rsidP="00997C63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A7840F5" w:rsidR="00997C63" w:rsidRPr="00FA72E0" w:rsidRDefault="00997C63" w:rsidP="00997C63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</w:p>
        </w:tc>
      </w:tr>
      <w:tr w:rsidR="00DE7E76" w14:paraId="0A83AEBA" w14:textId="77777777" w:rsidTr="00463A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795D8EE5" w:rsidR="00DE7E76" w:rsidRPr="002118F5" w:rsidRDefault="00DE7E76" w:rsidP="00DE7E76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</w:rPr>
              <w:t>1-2’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0021A1AC" w14:textId="25924006" w:rsidR="00DE7E76" w:rsidRPr="00DE7E76" w:rsidRDefault="00DE7E76" w:rsidP="00DE7E76">
            <w:pPr>
              <w:pStyle w:val="HTML-wstpniesformatowany"/>
              <w:shd w:val="clear" w:color="auto" w:fill="F8F9FA"/>
              <w:spacing w:before="240" w:after="24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E7E7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Conectarea pe platformă.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43395BCD" w14:textId="1ACF97E0" w:rsidR="00DE7E76" w:rsidRPr="00E325E4" w:rsidRDefault="00DE7E76" w:rsidP="00DE7E76">
            <w:pPr>
              <w:jc w:val="center"/>
              <w:rPr>
                <w:color w:val="auto"/>
              </w:rPr>
            </w:pPr>
            <w:proofErr w:type="spellStart"/>
            <w:r>
              <w:t>Telefon</w:t>
            </w:r>
            <w:proofErr w:type="spellEnd"/>
            <w:r>
              <w:t xml:space="preserve"> </w:t>
            </w:r>
            <w:proofErr w:type="spellStart"/>
            <w:r>
              <w:t>mobil</w:t>
            </w:r>
            <w:proofErr w:type="spellEnd"/>
            <w:r>
              <w:t>, computer</w:t>
            </w:r>
          </w:p>
        </w:tc>
      </w:tr>
      <w:tr w:rsidR="00DE7E76" w:rsidRPr="002F42A1" w14:paraId="677E0A3F" w14:textId="77777777" w:rsidTr="00463A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153FCF0C" w:rsidR="00DE7E76" w:rsidRPr="00FA72E0" w:rsidRDefault="00DE7E76" w:rsidP="00DE7E76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pl-PL"/>
              </w:rPr>
              <w:t>5-10’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7105" w14:textId="29E6B4D0" w:rsidR="00DE7E76" w:rsidRPr="00DE7E76" w:rsidRDefault="00DE7E76" w:rsidP="00DE7E76">
            <w:pPr>
              <w:pStyle w:val="HTML-wstpniesformatowany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E7E7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Rezolvarea cuvintelor încrucișate.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9028" w14:textId="29022FBD" w:rsidR="00DE7E76" w:rsidRPr="00FA72E0" w:rsidRDefault="00DE7E76" w:rsidP="00DE7E76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>
              <w:rPr>
                <w:lang w:val="pl-PL"/>
              </w:rPr>
              <w:t>Platformă</w:t>
            </w:r>
            <w:proofErr w:type="spellEnd"/>
          </w:p>
        </w:tc>
      </w:tr>
      <w:tr w:rsidR="00DE7E76" w:rsidRPr="002F42A1" w14:paraId="026454B3" w14:textId="77777777" w:rsidTr="00463A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0A2C" w14:textId="4BF6A98B" w:rsidR="00DE7E76" w:rsidRPr="00FA72E0" w:rsidRDefault="00DE7E76" w:rsidP="00DE7E76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pl-PL"/>
              </w:rPr>
              <w:t>2’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5605" w14:textId="4B22FF0B" w:rsidR="00DE7E76" w:rsidRPr="00DE7E76" w:rsidRDefault="00DE7E76" w:rsidP="00DE7E76">
            <w:pPr>
              <w:pStyle w:val="HTML-wstpniesformatowany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DE7E7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Învățare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 w:rsidRPr="00DE7E7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despre rezultate și cunoașterea predispozițiilor.</w:t>
            </w:r>
          </w:p>
          <w:p w14:paraId="3BE7AD01" w14:textId="3BE5FBE2" w:rsidR="00DE7E76" w:rsidRPr="005C448D" w:rsidRDefault="00DE7E76" w:rsidP="00DE7E76">
            <w:pPr>
              <w:spacing w:after="120"/>
              <w:rPr>
                <w:b/>
                <w:smallCaps/>
                <w:szCs w:val="24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853E" w14:textId="039BEEAA" w:rsidR="00DE7E76" w:rsidRPr="00FA72E0" w:rsidRDefault="00DE7E76" w:rsidP="00DE7E76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>
              <w:t>Tablă</w:t>
            </w:r>
            <w:proofErr w:type="spellEnd"/>
            <w:r>
              <w:t xml:space="preserve"> m</w:t>
            </w:r>
            <w:r w:rsidRPr="00287B2F">
              <w:t>ultimedia</w:t>
            </w: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9FE90" w14:textId="77777777" w:rsidR="00562772" w:rsidRDefault="00562772" w:rsidP="00895E77">
      <w:r>
        <w:separator/>
      </w:r>
    </w:p>
  </w:endnote>
  <w:endnote w:type="continuationSeparator" w:id="0">
    <w:p w14:paraId="0F6309B4" w14:textId="77777777" w:rsidR="00562772" w:rsidRDefault="00562772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8521B" w14:textId="77777777" w:rsidR="006F706D" w:rsidRDefault="006F70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FEED2" w14:textId="5F35D771" w:rsidR="006F706D" w:rsidRDefault="006F706D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9701DD" wp14:editId="5A059B6F">
              <wp:simplePos x="0" y="0"/>
              <wp:positionH relativeFrom="column">
                <wp:posOffset>-327660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26D22" w14:textId="77777777" w:rsidR="006F706D" w:rsidRPr="00665D1C" w:rsidRDefault="006F706D" w:rsidP="006F706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FEF2E" w14:textId="77777777" w:rsidR="006F706D" w:rsidRPr="005B584A" w:rsidRDefault="006F706D" w:rsidP="006F706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494799DE" w14:textId="77777777" w:rsidR="006F706D" w:rsidRDefault="006F706D" w:rsidP="006F706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5.8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I08IPiAAAACwEAAA8AAABkcnMvZG93bnJl&#10;di54bWxMj8FqwkAQhu+FvsMyhd50s2pCjdmISNuTFKqF4m3NjkkwOxuyaxLfvuup3maYj3++P1uP&#10;pmE9dq62JEFMI2BIhdU1lRJ+Dh+TN2DOK9KqsYQSbuhgnT8/ZSrVdqBv7Pe+ZCGEXKokVN63Keeu&#10;qNAoN7UtUridbWeUD2tXct2pIYSbhs+iKOFG1RQ+VKrFbYXFZX81Ej4HNWzm4r3fXc7b2/EQf/3u&#10;BEr5+jJuVsA8jv4fhrt+UIc8OJ3slbRjjYRJLJKAhmEWCWB3YhHPF8BOEpLlEnie8ccO+R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JI08IP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40F26D22" w14:textId="77777777" w:rsidR="006F706D" w:rsidRPr="00665D1C" w:rsidRDefault="006F706D" w:rsidP="006F706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67BFEF2E" w14:textId="77777777" w:rsidR="006F706D" w:rsidRPr="005B584A" w:rsidRDefault="006F706D" w:rsidP="006F706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494799DE" w14:textId="77777777" w:rsidR="006F706D" w:rsidRDefault="006F706D" w:rsidP="006F706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61DFB" w14:textId="77777777" w:rsidR="006F706D" w:rsidRDefault="006F70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07E37" w14:textId="77777777" w:rsidR="00562772" w:rsidRDefault="00562772" w:rsidP="00895E77">
      <w:r>
        <w:separator/>
      </w:r>
    </w:p>
  </w:footnote>
  <w:footnote w:type="continuationSeparator" w:id="0">
    <w:p w14:paraId="0A69518F" w14:textId="77777777" w:rsidR="00562772" w:rsidRDefault="00562772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8CBD1" w14:textId="77777777" w:rsidR="006F706D" w:rsidRDefault="006F70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F7610" w14:textId="77777777" w:rsidR="006F706D" w:rsidRDefault="006F70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C4CB7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E487A"/>
    <w:rsid w:val="003F62BB"/>
    <w:rsid w:val="00407B49"/>
    <w:rsid w:val="00414FD6"/>
    <w:rsid w:val="00426C8E"/>
    <w:rsid w:val="00460CA4"/>
    <w:rsid w:val="00496775"/>
    <w:rsid w:val="004A7206"/>
    <w:rsid w:val="004D2329"/>
    <w:rsid w:val="004F1D5A"/>
    <w:rsid w:val="004F4AE3"/>
    <w:rsid w:val="00542A74"/>
    <w:rsid w:val="00562772"/>
    <w:rsid w:val="00584F11"/>
    <w:rsid w:val="00595696"/>
    <w:rsid w:val="005A20C3"/>
    <w:rsid w:val="005A6941"/>
    <w:rsid w:val="005C448D"/>
    <w:rsid w:val="00606462"/>
    <w:rsid w:val="00654440"/>
    <w:rsid w:val="006E6F96"/>
    <w:rsid w:val="006F706D"/>
    <w:rsid w:val="006F771D"/>
    <w:rsid w:val="0070601F"/>
    <w:rsid w:val="0071059B"/>
    <w:rsid w:val="00717FAB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97C63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B25E3E"/>
    <w:rsid w:val="00B552C5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4186C"/>
    <w:rsid w:val="00D808CB"/>
    <w:rsid w:val="00D82D16"/>
    <w:rsid w:val="00DA0A93"/>
    <w:rsid w:val="00DE7E76"/>
    <w:rsid w:val="00DF3F01"/>
    <w:rsid w:val="00E05E6F"/>
    <w:rsid w:val="00E30B78"/>
    <w:rsid w:val="00E33D4E"/>
    <w:rsid w:val="00E41181"/>
    <w:rsid w:val="00E5450C"/>
    <w:rsid w:val="00E55B84"/>
    <w:rsid w:val="00E63110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97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97C63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997C63"/>
  </w:style>
  <w:style w:type="paragraph" w:styleId="Tekstdymka">
    <w:name w:val="Balloon Text"/>
    <w:basedOn w:val="Normalny"/>
    <w:link w:val="TekstdymkaZnak"/>
    <w:uiPriority w:val="99"/>
    <w:semiHidden/>
    <w:unhideWhenUsed/>
    <w:rsid w:val="006F70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06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6F70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97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97C63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997C63"/>
  </w:style>
  <w:style w:type="paragraph" w:styleId="Tekstdymka">
    <w:name w:val="Balloon Text"/>
    <w:basedOn w:val="Normalny"/>
    <w:link w:val="TekstdymkaZnak"/>
    <w:uiPriority w:val="99"/>
    <w:semiHidden/>
    <w:unhideWhenUsed/>
    <w:rsid w:val="006F70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06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6F7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2023-05-31T17:20:00Z</dcterms:created>
  <dcterms:modified xsi:type="dcterms:W3CDTF">2023-10-05T11:45:00Z</dcterms:modified>
</cp:coreProperties>
</file>