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FE" w:rsidRPr="00A82AFE" w:rsidRDefault="00A82AFE" w:rsidP="00A82AFE">
      <w:pPr>
        <w:shd w:val="clear" w:color="auto" w:fill="FFE5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82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Óraterv</w:t>
      </w:r>
    </w:p>
    <w:p w:rsidR="00A82AFE" w:rsidRPr="00A82AFE" w:rsidRDefault="00A82AFE" w:rsidP="00A82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82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 xml:space="preserve">A </w:t>
      </w:r>
      <w:proofErr w:type="spellStart"/>
      <w:r w:rsidRPr="00A82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migráció</w:t>
      </w:r>
      <w:proofErr w:type="spellEnd"/>
      <w:r w:rsidRPr="00A82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 xml:space="preserve"> </w:t>
      </w:r>
      <w:proofErr w:type="spellStart"/>
      <w:r w:rsidRPr="00A82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hatása</w:t>
      </w:r>
      <w:proofErr w:type="spellEnd"/>
      <w:r w:rsidRPr="00A82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 xml:space="preserve"> a </w:t>
      </w:r>
      <w:proofErr w:type="spellStart"/>
      <w:r w:rsidRPr="00A82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pályaválasztásra</w:t>
      </w:r>
      <w:proofErr w:type="spellEnd"/>
    </w:p>
    <w:p w:rsidR="00A82AFE" w:rsidRPr="00A82AFE" w:rsidRDefault="00A82AFE" w:rsidP="00A82A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82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  <w:t> </w:t>
      </w:r>
    </w:p>
    <w:tbl>
      <w:tblPr>
        <w:tblW w:w="14317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92"/>
        <w:gridCol w:w="2878"/>
        <w:gridCol w:w="6924"/>
        <w:gridCol w:w="330"/>
      </w:tblGrid>
      <w:tr w:rsidR="00A82AFE" w:rsidRPr="00A82AFE" w:rsidTr="00B75F6F">
        <w:tc>
          <w:tcPr>
            <w:tcW w:w="4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FE" w:rsidRPr="00B75F6F" w:rsidRDefault="00B75F6F" w:rsidP="00A82A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75F6F">
              <w:rPr>
                <w:rFonts w:ascii="Times New Roman" w:hAnsi="Times New Roman" w:cs="Times New Roman"/>
                <w:b/>
              </w:rPr>
              <w:t>Szint, a diákok életkora</w:t>
            </w:r>
            <w:r w:rsidRPr="00B75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8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AFE" w:rsidRPr="00A82AFE" w:rsidRDefault="00A82AFE" w:rsidP="00A82A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15-16 év/ 9.</w:t>
            </w: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és 10. évfolyam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2AFE" w:rsidRPr="00A82AFE" w:rsidRDefault="00A82AFE" w:rsidP="00A8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75F6F" w:rsidRPr="00A82AFE" w:rsidTr="00B75F6F"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6F" w:rsidRPr="00B75F6F" w:rsidRDefault="00B75F6F" w:rsidP="00B75F6F">
            <w:pPr>
              <w:spacing w:before="120" w:after="60"/>
              <w:rPr>
                <w:rFonts w:ascii="Times New Roman" w:hAnsi="Times New Roman" w:cs="Times New Roman"/>
                <w:szCs w:val="24"/>
              </w:rPr>
            </w:pPr>
            <w:r w:rsidRPr="00B75F6F">
              <w:rPr>
                <w:rFonts w:ascii="Times New Roman" w:hAnsi="Times New Roman" w:cs="Times New Roman"/>
                <w:b/>
                <w:bCs/>
                <w:szCs w:val="24"/>
              </w:rPr>
              <w:t>Tantárgy</w:t>
            </w:r>
          </w:p>
        </w:tc>
        <w:tc>
          <w:tcPr>
            <w:tcW w:w="9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6F" w:rsidRPr="00A82AFE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Történelem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75F6F" w:rsidRPr="00A82AFE" w:rsidTr="00B75F6F"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6F" w:rsidRPr="00B75F6F" w:rsidRDefault="00B75F6F" w:rsidP="00B75F6F">
            <w:pPr>
              <w:spacing w:before="120" w:after="6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75F6F">
              <w:rPr>
                <w:rFonts w:ascii="Times New Roman" w:hAnsi="Times New Roman" w:cs="Times New Roman"/>
                <w:b/>
                <w:bCs/>
                <w:szCs w:val="24"/>
              </w:rPr>
              <w:t>Érintett tantárgyak:</w:t>
            </w:r>
          </w:p>
        </w:tc>
        <w:tc>
          <w:tcPr>
            <w:tcW w:w="9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6F" w:rsidRPr="00A82AFE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Földrajz, szociológia, filozófia, pszichológia, irodalom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75F6F" w:rsidRPr="00A82AFE" w:rsidTr="00B75F6F"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6F" w:rsidRPr="00B75F6F" w:rsidRDefault="00B75F6F" w:rsidP="00B75F6F">
            <w:pPr>
              <w:spacing w:before="120" w:after="6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75F6F">
              <w:rPr>
                <w:rFonts w:ascii="Times New Roman" w:hAnsi="Times New Roman" w:cs="Times New Roman"/>
                <w:b/>
                <w:bCs/>
                <w:szCs w:val="24"/>
              </w:rPr>
              <w:t>Célok</w:t>
            </w:r>
          </w:p>
        </w:tc>
        <w:tc>
          <w:tcPr>
            <w:tcW w:w="9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94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Elemezni a főbb ázsiai és európai migrációk megismerésének fontosságát a múlttól a jelenig. Elemezni a migráció általános okait és eredményeit, a migráció tényét, ami nagyon fontos jelenség, mert az emberiség kezdete óta befolyásolja a világ történelmét.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Ez a tudás hasznos lehet olyan karrierterületeken mint a  </w:t>
            </w:r>
            <w:r w:rsidRPr="00A94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szociológia, a pszichológia, a politikatudományok, a közigazgatás és a jog.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75F6F" w:rsidRPr="00A82AFE" w:rsidTr="00B75F6F"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6F" w:rsidRPr="00B75F6F" w:rsidRDefault="00B75F6F" w:rsidP="00B75F6F">
            <w:pPr>
              <w:spacing w:before="120" w:after="6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75F6F">
              <w:rPr>
                <w:rFonts w:ascii="Times New Roman" w:hAnsi="Times New Roman" w:cs="Times New Roman"/>
                <w:b/>
                <w:bCs/>
                <w:szCs w:val="24"/>
              </w:rPr>
              <w:t>A diákok száma csoportban (javasolt):</w:t>
            </w:r>
          </w:p>
        </w:tc>
        <w:tc>
          <w:tcPr>
            <w:tcW w:w="9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6F" w:rsidRPr="00A82AFE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75F6F" w:rsidRPr="00A82AFE" w:rsidTr="00B75F6F"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6F" w:rsidRPr="00B75F6F" w:rsidRDefault="00B75F6F" w:rsidP="00B75F6F">
            <w:pPr>
              <w:spacing w:before="120" w:after="6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75F6F">
              <w:rPr>
                <w:rFonts w:ascii="Times New Roman" w:hAnsi="Times New Roman" w:cs="Times New Roman"/>
                <w:b/>
                <w:bCs/>
                <w:szCs w:val="24"/>
              </w:rPr>
              <w:t>A fő tevékenység időtartama:</w:t>
            </w:r>
          </w:p>
        </w:tc>
        <w:tc>
          <w:tcPr>
            <w:tcW w:w="9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6F" w:rsidRPr="00A82AFE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15'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75F6F" w:rsidRPr="00A82AFE" w:rsidTr="00B75F6F"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6F" w:rsidRPr="00B75F6F" w:rsidRDefault="00B75F6F" w:rsidP="00B75F6F">
            <w:pPr>
              <w:spacing w:before="120" w:after="6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75F6F">
              <w:rPr>
                <w:rFonts w:ascii="Times New Roman" w:hAnsi="Times New Roman" w:cs="Times New Roman"/>
                <w:b/>
                <w:bCs/>
                <w:szCs w:val="24"/>
              </w:rPr>
              <w:t>Szükséges anyagok:</w:t>
            </w:r>
          </w:p>
        </w:tc>
        <w:tc>
          <w:tcPr>
            <w:tcW w:w="9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6F" w:rsidRPr="00A82AFE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</w:t>
            </w: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könyvek, referenciakönyvek, releváns cikkek és dokumentumfilmek.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75F6F" w:rsidRPr="00A82AFE" w:rsidTr="00B75F6F"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6F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75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Kompetenciák:</w:t>
            </w:r>
          </w:p>
          <w:p w:rsidR="00B75F6F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B75F6F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B75F6F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B75F6F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B75F6F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:rsidR="00B75F6F" w:rsidRPr="00B75F6F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B75F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lastRenderedPageBreak/>
              <w:t>Várható eredmények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98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Megtanulni, hogy a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igráció olyan jelenség, amely a</w:t>
            </w: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kezdeti időktől fogva az emberi történelem része</w:t>
            </w: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és többszörösen befolyásolta a történelmi eseményeket.</w:t>
            </w:r>
          </w:p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hu-HU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földrajz és az </w:t>
            </w:r>
            <w:r w:rsidRPr="00A941E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hu-HU"/>
              </w:rPr>
              <w:t>éghajlat azon tényezőit elemezni, amelyek az emberek életmódjára és megélhetésére döntő hatással vannak</w:t>
            </w:r>
          </w:p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Elemezni azokat</w:t>
            </w:r>
            <w:r w:rsidRPr="00A8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politikai, társadalmi,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ulturális és gazdasági hatásokat, amelyeket az vált ki, hogy</w:t>
            </w:r>
            <w:r w:rsidRPr="00A8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emberek</w:t>
            </w:r>
            <w:r w:rsidRPr="00A8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akaratuk és vágyuk ellenére kénytelenek elhagyni hazájukat.</w:t>
            </w:r>
          </w:p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Tudatában lenni a </w:t>
            </w:r>
            <w:r w:rsidRPr="00A8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migrációs jelenség jelenlegi aspektusainak és a történelmi empátia készségek fejlődnek.</w:t>
            </w:r>
          </w:p>
          <w:p w:rsidR="00B75F6F" w:rsidRPr="00A82AFE" w:rsidRDefault="00B75F6F" w:rsidP="00B75F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hu-H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hu-HU"/>
              </w:rPr>
              <w:t xml:space="preserve"> </w:t>
            </w:r>
            <w:r w:rsidRPr="00A941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szociológiai, pszichológiai, politikatudományi, közigazgatási, jogi pályára készülő fiatalok azzal, hogy a migráció kalandját a történelemtől napjainkig végigjárják, és felhívják a figyelmet a </w:t>
            </w:r>
            <w:r w:rsidRPr="00A941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bevándorlókra, hozzájárulnak karrierterveikhez.</w:t>
            </w:r>
          </w:p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 </w:t>
            </w:r>
          </w:p>
        </w:tc>
      </w:tr>
      <w:tr w:rsidR="00B75F6F" w:rsidRPr="00A82AFE" w:rsidTr="00B75F6F">
        <w:tc>
          <w:tcPr>
            <w:tcW w:w="41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6F" w:rsidRPr="00A82AFE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Várható</w:t>
            </w:r>
            <w:r w:rsidRPr="00A82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nehézségek:</w:t>
            </w:r>
          </w:p>
        </w:tc>
        <w:tc>
          <w:tcPr>
            <w:tcW w:w="9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6F" w:rsidRPr="00A82AFE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kutatandó téma többdimenziós és a történelem mellett más területekhez is kapcsolódik.</w:t>
            </w:r>
          </w:p>
          <w:p w:rsidR="00B75F6F" w:rsidRPr="00A82AFE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Ez megköveteli 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migrációs mozgások vizsgálatát a</w:t>
            </w: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kezdeti</w:t>
            </w: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koroktól napjainkig terjedő nagyon széles időszakban.</w:t>
            </w:r>
          </w:p>
          <w:p w:rsidR="00B75F6F" w:rsidRPr="00A82AFE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Nagyon nagy szakirodalmi áttekintést igényel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75F6F" w:rsidRPr="00A82AFE" w:rsidTr="00B75F6F"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6F" w:rsidRPr="00A82AFE" w:rsidRDefault="00B75F6F" w:rsidP="00B75F6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27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További tevékenységek (ha vannak):</w:t>
            </w:r>
          </w:p>
        </w:tc>
        <w:tc>
          <w:tcPr>
            <w:tcW w:w="9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F6F" w:rsidRPr="001D0E6E" w:rsidRDefault="00B75F6F" w:rsidP="00B75F6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D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diákok</w:t>
            </w:r>
            <w:r w:rsidRPr="001D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tájékoztatása a tantárgy előnyeiről, és a téma összefüggésében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olvasmányok és kutatómunka</w:t>
            </w:r>
            <w:r w:rsidRPr="001D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kijelölése.</w:t>
            </w:r>
          </w:p>
          <w:p w:rsidR="00B75F6F" w:rsidRPr="001D0E6E" w:rsidRDefault="00B75F6F" w:rsidP="00B75F6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D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Dokumentumfilmek ajánlása a témában és minőségi migrációs témájú moziprodukciók</w:t>
            </w:r>
          </w:p>
          <w:p w:rsidR="00B75F6F" w:rsidRPr="001D0E6E" w:rsidRDefault="00B75F6F" w:rsidP="00B75F6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D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Versek, történetek és regények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kutatása a "migráció" témájáról</w:t>
            </w:r>
            <w:r w:rsidRPr="001D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irodalmunkban.</w:t>
            </w:r>
          </w:p>
          <w:p w:rsidR="00B75F6F" w:rsidRPr="001D0E6E" w:rsidRDefault="00B75F6F" w:rsidP="00B75F6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D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Kutatás arról, hogy vannak-e olyan családok, akiket ismernek, akik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bevándorlóként</w:t>
            </w:r>
            <w:r w:rsidRPr="001D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érkeztek városunkba.</w:t>
            </w:r>
          </w:p>
          <w:p w:rsidR="00B75F6F" w:rsidRPr="001D0E6E" w:rsidRDefault="00B75F6F" w:rsidP="00B75F6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D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Információgyűjtés a szomszédságunkba nemrég érkezett bevándorlókról.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B75F6F" w:rsidRPr="00A82AFE" w:rsidTr="00B75F6F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5F6F" w:rsidRPr="00A82AFE" w:rsidRDefault="00B75F6F" w:rsidP="00B75F6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E27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IDŐ</w:t>
            </w:r>
          </w:p>
        </w:tc>
        <w:tc>
          <w:tcPr>
            <w:tcW w:w="6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5F6F" w:rsidRPr="00A82AFE" w:rsidRDefault="00B75F6F" w:rsidP="00B75F6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32"/>
                <w:szCs w:val="32"/>
                <w:lang w:eastAsia="hu-HU"/>
              </w:rPr>
              <w:t>folyamat</w:t>
            </w:r>
          </w:p>
        </w:tc>
        <w:tc>
          <w:tcPr>
            <w:tcW w:w="7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5F6F" w:rsidRPr="00A82AFE" w:rsidRDefault="00B75F6F" w:rsidP="00B75F6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MÓDSZER</w:t>
            </w:r>
          </w:p>
        </w:tc>
      </w:tr>
      <w:tr w:rsidR="00B75F6F" w:rsidRPr="00A82AFE" w:rsidTr="00B75F6F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5F6F" w:rsidRPr="00A82AFE" w:rsidRDefault="00B75F6F" w:rsidP="00B7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  <w:t>15 Mın</w:t>
            </w:r>
          </w:p>
        </w:tc>
        <w:tc>
          <w:tcPr>
            <w:tcW w:w="6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EZEKET AZ INFORMATÍV RÉSZEKET ELŐZETESEN ONLINE DOKUMENTUMKÉNT KAPJÁK MEG A TANULÓK</w:t>
            </w:r>
          </w:p>
          <w:p w:rsidR="00B75F6F" w:rsidRPr="001D0E6E" w:rsidRDefault="00B75F6F" w:rsidP="00B75F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94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Megérti a migráció általános okait és következményeit.</w:t>
            </w:r>
          </w:p>
          <w:p w:rsidR="00B75F6F" w:rsidRPr="001D0E6E" w:rsidRDefault="00B75F6F" w:rsidP="00B75F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94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Általános információkat szerez a kezdeti időben zajló vándorlásokról</w:t>
            </w:r>
            <w:r w:rsidRPr="00A9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  <w:p w:rsidR="00B75F6F" w:rsidRPr="001D0E6E" w:rsidRDefault="00B75F6F" w:rsidP="00B75F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D0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Rövid tájékoztatást adunk az égei-tengeri migrációkról - Amurru migráció - Hurrita migráció - számi migrációkról.</w:t>
            </w:r>
          </w:p>
          <w:p w:rsidR="00B75F6F" w:rsidRPr="001D0E6E" w:rsidRDefault="00B75F6F" w:rsidP="00B75F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hu-HU"/>
              </w:rPr>
            </w:pPr>
            <w:r w:rsidRPr="00A941E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Az ókorban a vallási okokból történő migráció példájaként a </w:t>
            </w:r>
            <w:r w:rsidRPr="001D0E6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hu-HU"/>
              </w:rPr>
              <w:t>zsidó száműzöttekről és az első keresztények római elnyomás elől való meneküléséről szóló tájékoztatást adjuk.</w:t>
            </w:r>
          </w:p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 Tárgyaljuk a földrajz és az éghajlat döntő hatását az emberek életmódjár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és megélhetésére az ókorban.</w:t>
            </w:r>
          </w:p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94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 </w:t>
            </w:r>
            <w:r w:rsidRPr="00A94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Megvitatjuk az "égei-tengeri vándorlások" eredményeit Anatóliába és Egyiptomba az ókori időszakban.</w:t>
            </w:r>
          </w:p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94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 </w:t>
            </w:r>
            <w:r w:rsidRPr="00A94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diákok tudatosságát növeli annak megvitatása, hogy a törzsek migrációja alakította a mai európai nemzetek etnikai szerkezetét.</w:t>
            </w:r>
          </w:p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hu-HU"/>
              </w:rPr>
              <w:t xml:space="preserve">4. </w:t>
            </w:r>
            <w:r w:rsidRPr="00A94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Rámutatni arra, hogy a migráció korai időszaktól kezdve az emberi történelem része.</w:t>
            </w:r>
          </w:p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 </w:t>
            </w:r>
            <w:r w:rsidRPr="00A94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Elősegíteni, hogy a diákok történelmi empátiát szerezzenek azokról a traumákról, amelyeket azok az emberek éltek át, akik politikai, földrajzi, gazdasági és vallási okokból kényszerűleg elhagyták otthonukat.</w:t>
            </w:r>
          </w:p>
          <w:p w:rsidR="00B75F6F" w:rsidRPr="00A82AFE" w:rsidRDefault="00B75F6F" w:rsidP="00B75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B75F6F" w:rsidRPr="00A82AFE" w:rsidRDefault="00B75F6F" w:rsidP="00B75F6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82A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Előadás, kérdés és válasz, áttekintés, csoportos beszélgetés, egyéni tanulmányok, ismétlés, csoportos tanulás, elemzés</w:t>
            </w:r>
          </w:p>
          <w:p w:rsidR="00B75F6F" w:rsidRPr="00A82AFE" w:rsidRDefault="00B75F6F" w:rsidP="00B75F6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75F6F" w:rsidRPr="00A82AFE" w:rsidTr="00B75F6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9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F6F" w:rsidRPr="00A82AFE" w:rsidRDefault="00B75F6F" w:rsidP="00B75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8D11F1" w:rsidRPr="001D0E6E" w:rsidRDefault="008D11F1" w:rsidP="001D0E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sectPr w:rsidR="008D11F1" w:rsidRPr="001D0E6E" w:rsidSect="00A82A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2B8" w:rsidRDefault="006D22B8" w:rsidP="00E27016">
      <w:pPr>
        <w:spacing w:after="0" w:line="240" w:lineRule="auto"/>
      </w:pPr>
      <w:r>
        <w:separator/>
      </w:r>
    </w:p>
  </w:endnote>
  <w:endnote w:type="continuationSeparator" w:id="0">
    <w:p w:rsidR="006D22B8" w:rsidRDefault="006D22B8" w:rsidP="00E2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ED" w:rsidRDefault="00A941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ED" w:rsidRDefault="00A941ED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EE649B" wp14:editId="1A968EE3">
              <wp:simplePos x="0" y="0"/>
              <wp:positionH relativeFrom="column">
                <wp:posOffset>-152400</wp:posOffset>
              </wp:positionH>
              <wp:positionV relativeFrom="paragraph">
                <wp:posOffset>-167640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1ED" w:rsidRPr="00A941ED" w:rsidRDefault="00A941ED" w:rsidP="00A941ED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rFonts w:eastAsia="Times New Roman"/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41ED" w:rsidRPr="00A941ED" w:rsidRDefault="00A941ED" w:rsidP="00A941ED">
                              <w:pPr>
                                <w:pStyle w:val="NormalnyWeb"/>
                                <w:spacing w:before="0" w:beforeAutospacing="0" w:after="0" w:afterAutospacing="0"/>
                                <w:jc w:val="both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 support for the production does not constitute an endorsement of the contents, which reflect the views only of the authors, and the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</w:p>
                            <w:p w:rsidR="00A941ED" w:rsidRPr="00A941ED" w:rsidRDefault="00A941ED" w:rsidP="00A941ED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lang w:val="en-GB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2pt;margin-top:-13.2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tVq2bhAAAACwEAAA8AAABkcnMvZG93bnJl&#10;di54bWxMj0FvgkAQhe9N+h8206Q3XVBKDLIYY9qeTJNqk8bbCCMQ2VnCroD/vsup3mbmvbz5XroZ&#10;dSN66mxtWEE4D0AQ56aouVTwc/yYrUBYh1xgY5gU3MnCJnt+SjEpzMDf1B9cKXwI2wQVVM61iZQ2&#10;r0ijnZuW2GsX02l0fu1KWXQ4+HDdyEUQxFJjzf5DhS3tKsqvh5tW8DngsF2G7/3+etndT8e3r999&#10;SEq9vozbNQhHo/s3w4Tv0SHzTGdz48KKRsFsEfkubhriCMTkiFahP50VxMsYZJbKxw7ZH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Di361ARBAAANwwAAA4AAAAA&#10;AAAAAAAAAAAAOgIAAGRycy9lMm9Eb2MueG1sUEsBAi0AFAAGAAgAAAAhAKomDr68AAAAIQEAABkA&#10;AAAAAAAAAAAAAAAAdwYAAGRycy9fcmVscy9lMm9Eb2MueG1sLnJlbHNQSwECLQAUAAYACAAAACEA&#10;q1WrZu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:rsidR="00A941ED" w:rsidRPr="00A941ED" w:rsidRDefault="00A941ED" w:rsidP="00A941ED">
                      <w:pPr>
                        <w:pStyle w:val="NormalnyWeb"/>
                        <w:spacing w:before="0" w:beforeAutospacing="0" w:after="0" w:afterAutospacing="0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>
                          <w:rPr>
                            <w:rStyle w:val="Hipercze"/>
                            <w:rFonts w:eastAsia="Times New Roman"/>
                            <w:i/>
                            <w:iCs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A941ED" w:rsidRPr="00A941ED" w:rsidRDefault="00A941ED" w:rsidP="00A941ED">
                        <w:pPr>
                          <w:pStyle w:val="NormalnyWeb"/>
                          <w:spacing w:before="0" w:beforeAutospacing="0" w:after="0" w:afterAutospacing="0"/>
                          <w:jc w:val="both"/>
                          <w:rPr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>Comission’s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 support for the production does not constitute an endorsement of the contents, which reflect the views only of the authors, and the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>Commision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</w:p>
                      <w:p w:rsidR="00A941ED" w:rsidRPr="00A941ED" w:rsidRDefault="00A941ED" w:rsidP="00A941ED">
                        <w:pPr>
                          <w:pStyle w:val="NormalnyWeb"/>
                          <w:spacing w:before="0" w:beforeAutospacing="0" w:after="0" w:afterAutospacing="0"/>
                          <w:rPr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GB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ED" w:rsidRDefault="00A941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2B8" w:rsidRDefault="006D22B8" w:rsidP="00E27016">
      <w:pPr>
        <w:spacing w:after="0" w:line="240" w:lineRule="auto"/>
      </w:pPr>
      <w:r>
        <w:separator/>
      </w:r>
    </w:p>
  </w:footnote>
  <w:footnote w:type="continuationSeparator" w:id="0">
    <w:p w:rsidR="006D22B8" w:rsidRDefault="006D22B8" w:rsidP="00E2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ED" w:rsidRDefault="00A941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E27016" w:rsidRPr="00E27016" w:rsidTr="000A5164">
      <w:tc>
        <w:tcPr>
          <w:tcW w:w="4714" w:type="dxa"/>
          <w:shd w:val="clear" w:color="auto" w:fill="FFE599"/>
          <w:vAlign w:val="center"/>
        </w:tcPr>
        <w:p w:rsidR="00E27016" w:rsidRPr="00E27016" w:rsidRDefault="00E27016" w:rsidP="00E27016">
          <w:pPr>
            <w:tabs>
              <w:tab w:val="center" w:pos="7002"/>
              <w:tab w:val="right" w:pos="140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0"/>
              <w:szCs w:val="40"/>
              <w:lang w:val="en-GB" w:eastAsia="hu-HU"/>
            </w:rPr>
          </w:pPr>
          <w:bookmarkStart w:id="0" w:name="OLE_LINK1"/>
          <w:r w:rsidRPr="00E27016">
            <w:rPr>
              <w:rFonts w:ascii="Times New Roman" w:eastAsia="Times New Roman" w:hAnsi="Times New Roman" w:cs="Times New Roman"/>
              <w:sz w:val="40"/>
              <w:szCs w:val="40"/>
              <w:lang w:val="en-GB" w:eastAsia="hu-HU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:rsidR="00E27016" w:rsidRPr="00E27016" w:rsidRDefault="00E27016" w:rsidP="00E27016">
          <w:pPr>
            <w:tabs>
              <w:tab w:val="center" w:pos="7002"/>
              <w:tab w:val="right" w:pos="140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GB" w:eastAsia="hu-HU"/>
            </w:rPr>
          </w:pPr>
          <w:r w:rsidRPr="00E2701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0"/>
              <w:lang w:val="pl-PL" w:eastAsia="pl-PL"/>
            </w:rPr>
            <w:drawing>
              <wp:inline distT="0" distB="0" distL="0" distR="0" wp14:anchorId="74362CA8" wp14:editId="5D5C0D82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E27016" w:rsidRPr="00E27016" w:rsidRDefault="00E27016" w:rsidP="00E27016">
          <w:pPr>
            <w:tabs>
              <w:tab w:val="center" w:pos="7002"/>
              <w:tab w:val="right" w:pos="140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0"/>
              <w:szCs w:val="40"/>
              <w:lang w:val="en-GB" w:eastAsia="hu-HU"/>
            </w:rPr>
          </w:pPr>
          <w:r w:rsidRPr="00E27016">
            <w:rPr>
              <w:rFonts w:ascii="Times New Roman" w:eastAsia="Times New Roman" w:hAnsi="Times New Roman" w:cs="Times New Roman"/>
              <w:sz w:val="40"/>
              <w:szCs w:val="40"/>
              <w:lang w:val="en-GB" w:eastAsia="hu-HU"/>
            </w:rPr>
            <w:t>PRACTICAL APPROACH</w:t>
          </w:r>
        </w:p>
      </w:tc>
    </w:tr>
  </w:tbl>
  <w:p w:rsidR="00E27016" w:rsidRDefault="00E2701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ED" w:rsidRDefault="00A941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68DC"/>
    <w:multiLevelType w:val="hybridMultilevel"/>
    <w:tmpl w:val="25B298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33909"/>
    <w:multiLevelType w:val="hybridMultilevel"/>
    <w:tmpl w:val="9E5237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FE"/>
    <w:rsid w:val="0012288D"/>
    <w:rsid w:val="001D0E6E"/>
    <w:rsid w:val="0039632A"/>
    <w:rsid w:val="006D22B8"/>
    <w:rsid w:val="00724FDC"/>
    <w:rsid w:val="008D11F1"/>
    <w:rsid w:val="00A82AFE"/>
    <w:rsid w:val="00A941ED"/>
    <w:rsid w:val="00B75F6F"/>
    <w:rsid w:val="00DC45F0"/>
    <w:rsid w:val="00E27016"/>
    <w:rsid w:val="00F6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E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016"/>
  </w:style>
  <w:style w:type="paragraph" w:styleId="Stopka">
    <w:name w:val="footer"/>
    <w:basedOn w:val="Normalny"/>
    <w:link w:val="StopkaZnak"/>
    <w:uiPriority w:val="99"/>
    <w:unhideWhenUsed/>
    <w:rsid w:val="00E2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016"/>
  </w:style>
  <w:style w:type="paragraph" w:styleId="Tekstdymka">
    <w:name w:val="Balloon Text"/>
    <w:basedOn w:val="Normalny"/>
    <w:link w:val="TekstdymkaZnak"/>
    <w:uiPriority w:val="99"/>
    <w:semiHidden/>
    <w:unhideWhenUsed/>
    <w:rsid w:val="00A9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1E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41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A941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E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016"/>
  </w:style>
  <w:style w:type="paragraph" w:styleId="Stopka">
    <w:name w:val="footer"/>
    <w:basedOn w:val="Normalny"/>
    <w:link w:val="StopkaZnak"/>
    <w:uiPriority w:val="99"/>
    <w:unhideWhenUsed/>
    <w:rsid w:val="00E2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016"/>
  </w:style>
  <w:style w:type="paragraph" w:styleId="Tekstdymka">
    <w:name w:val="Balloon Text"/>
    <w:basedOn w:val="Normalny"/>
    <w:link w:val="TekstdymkaZnak"/>
    <w:uiPriority w:val="99"/>
    <w:semiHidden/>
    <w:unhideWhenUsed/>
    <w:rsid w:val="00A9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1E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41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A94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Várvizi Henriett</dc:creator>
  <cp:keywords/>
  <dc:description/>
  <cp:lastModifiedBy>Szkola</cp:lastModifiedBy>
  <cp:revision>3</cp:revision>
  <dcterms:created xsi:type="dcterms:W3CDTF">2023-05-23T18:50:00Z</dcterms:created>
  <dcterms:modified xsi:type="dcterms:W3CDTF">2023-10-04T13:10:00Z</dcterms:modified>
</cp:coreProperties>
</file>