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9A" w:rsidRDefault="0046209A" w:rsidP="0046209A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Plan Lekcji</w:t>
      </w:r>
    </w:p>
    <w:p w:rsidR="00727917" w:rsidRPr="0046209A" w:rsidRDefault="0046209A" w:rsidP="0046209A">
      <w:pPr>
        <w:jc w:val="center"/>
        <w:rPr>
          <w:b/>
          <w:i/>
        </w:rPr>
      </w:pPr>
      <w:proofErr w:type="spellStart"/>
      <w:r w:rsidRPr="0046209A">
        <w:rPr>
          <w:b/>
        </w:rPr>
        <w:t>Rozwój</w:t>
      </w:r>
      <w:proofErr w:type="spellEnd"/>
      <w:r w:rsidRPr="0046209A">
        <w:rPr>
          <w:b/>
        </w:rPr>
        <w:t xml:space="preserve"> </w:t>
      </w:r>
      <w:proofErr w:type="spellStart"/>
      <w:r w:rsidRPr="0046209A">
        <w:rPr>
          <w:b/>
        </w:rPr>
        <w:t>Kariery</w:t>
      </w:r>
      <w:proofErr w:type="spellEnd"/>
    </w:p>
    <w:p w:rsidR="00727917" w:rsidRDefault="00727917">
      <w:pPr>
        <w:jc w:val="center"/>
        <w:rPr>
          <w:b/>
          <w:sz w:val="16"/>
          <w:szCs w:val="16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10131"/>
      </w:tblGrid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rPr>
                <w:lang w:val="pl-PL"/>
              </w:rPr>
              <w:t>18-20</w:t>
            </w:r>
          </w:p>
        </w:tc>
      </w:tr>
      <w:tr w:rsidR="0046209A" w:rsidTr="00721AE5">
        <w:trPr>
          <w:trHeight w:val="649"/>
        </w:trPr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10131" w:type="dxa"/>
            <w:shd w:val="clear" w:color="auto" w:fill="auto"/>
          </w:tcPr>
          <w:p w:rsidR="0046209A" w:rsidRPr="00674B80" w:rsidRDefault="00C61CE5" w:rsidP="0046209A">
            <w:proofErr w:type="spellStart"/>
            <w:r>
              <w:t>Doradztwo</w:t>
            </w:r>
            <w:proofErr w:type="spellEnd"/>
            <w:r>
              <w:t xml:space="preserve"> </w:t>
            </w:r>
            <w:proofErr w:type="spellStart"/>
            <w:r>
              <w:t>zawodowe</w:t>
            </w:r>
            <w:proofErr w:type="spellEnd"/>
            <w:r>
              <w:t>.</w:t>
            </w:r>
          </w:p>
        </w:tc>
      </w:tr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C61CE5" w:rsidP="0046209A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Dodatkowy</w:t>
            </w:r>
            <w:proofErr w:type="spellEnd"/>
            <w:r w:rsidR="0046209A">
              <w:rPr>
                <w:b/>
              </w:rPr>
              <w:t xml:space="preserve"> </w:t>
            </w:r>
            <w:r>
              <w:rPr>
                <w:b/>
                <w:lang w:val="pl-PL"/>
              </w:rPr>
              <w:t>przedmiot</w:t>
            </w:r>
            <w:r w:rsidR="0046209A">
              <w:rPr>
                <w:b/>
                <w:lang w:val="pl-PL"/>
              </w:rPr>
              <w:t>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rPr>
                <w:lang w:val="pl-PL"/>
              </w:rPr>
              <w:t>Język a</w:t>
            </w:r>
            <w:r w:rsidR="0046209A" w:rsidRPr="0046209A">
              <w:rPr>
                <w:lang w:val="pl-PL"/>
              </w:rPr>
              <w:t>ngi</w:t>
            </w:r>
            <w:r>
              <w:rPr>
                <w:lang w:val="pl-PL"/>
              </w:rPr>
              <w:t>elski.</w:t>
            </w:r>
          </w:p>
        </w:tc>
      </w:tr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Cele: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rPr>
                <w:lang w:val="pl-PL"/>
              </w:rPr>
              <w:t xml:space="preserve">Przygotowanie </w:t>
            </w:r>
            <w:r w:rsidR="0046209A">
              <w:rPr>
                <w:lang w:val="pl-PL"/>
              </w:rPr>
              <w:t>uczniów</w:t>
            </w:r>
            <w:r>
              <w:rPr>
                <w:lang w:val="pl-PL"/>
              </w:rPr>
              <w:t xml:space="preserve"> do ubiegania się o pracę, przygotowanie uczniów do rozmowy kwalifikacyjnej. Uświadomienie pożądanych i niepożądanych </w:t>
            </w:r>
            <w:proofErr w:type="spellStart"/>
            <w:r>
              <w:rPr>
                <w:lang w:val="pl-PL"/>
              </w:rPr>
              <w:t>zachowań</w:t>
            </w:r>
            <w:proofErr w:type="spellEnd"/>
            <w:r>
              <w:rPr>
                <w:lang w:val="pl-PL"/>
              </w:rPr>
              <w:t xml:space="preserve"> podczas rozmowy kwalifikacyjnej. </w:t>
            </w:r>
          </w:p>
        </w:tc>
      </w:tr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rPr>
                <w:lang w:val="pl-PL"/>
              </w:rPr>
              <w:t>10 - 12</w:t>
            </w:r>
          </w:p>
        </w:tc>
      </w:tr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rPr>
                <w:lang w:val="pl-PL"/>
              </w:rPr>
              <w:t xml:space="preserve">15 minut </w:t>
            </w:r>
          </w:p>
        </w:tc>
      </w:tr>
      <w:tr w:rsidR="0046209A" w:rsidRPr="007E56E9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C61CE5" w:rsidP="0046209A">
            <w:pPr>
              <w:rPr>
                <w:lang w:val="pl-PL"/>
              </w:rPr>
            </w:pPr>
            <w:r>
              <w:t>SMART board, laptop, tablets.</w:t>
            </w:r>
          </w:p>
        </w:tc>
      </w:tr>
      <w:tr w:rsidR="0046209A" w:rsidRPr="00400D12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10131" w:type="dxa"/>
            <w:shd w:val="clear" w:color="auto" w:fill="auto"/>
          </w:tcPr>
          <w:p w:rsidR="0046209A" w:rsidRPr="00400D12" w:rsidRDefault="00C61CE5" w:rsidP="0046209A">
            <w:pPr>
              <w:rPr>
                <w:lang w:val="pl-PL"/>
              </w:rPr>
            </w:pPr>
            <w:r w:rsidRPr="00400D12">
              <w:rPr>
                <w:lang w:val="pl-PL"/>
              </w:rPr>
              <w:t>Komunikacja w języku angielskim, kompetencje cyfrowe, kompetencje osobiste, kompetencje społeczne.</w:t>
            </w:r>
          </w:p>
        </w:tc>
      </w:tr>
      <w:tr w:rsidR="0046209A" w:rsidRPr="00400D12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przygotowawcze:</w:t>
            </w:r>
          </w:p>
        </w:tc>
        <w:tc>
          <w:tcPr>
            <w:tcW w:w="10131" w:type="dxa"/>
            <w:shd w:val="clear" w:color="auto" w:fill="auto"/>
          </w:tcPr>
          <w:p w:rsidR="0046209A" w:rsidRPr="00400D12" w:rsidRDefault="00932E5C" w:rsidP="0046209A">
            <w:pPr>
              <w:rPr>
                <w:lang w:val="pl-PL"/>
              </w:rPr>
            </w:pPr>
            <w:r w:rsidRPr="00400D12">
              <w:rPr>
                <w:lang w:val="pl-PL"/>
              </w:rPr>
              <w:t>Na poprzedniej lekcji potrzebna jest powtórka gramatyki, skupiająca się na szyku słów w pytaniach w języku angielskim</w:t>
            </w:r>
            <w:r w:rsidR="00C61CE5" w:rsidRPr="00400D12">
              <w:rPr>
                <w:lang w:val="pl-PL"/>
              </w:rPr>
              <w:t>.</w:t>
            </w:r>
          </w:p>
        </w:tc>
      </w:tr>
      <w:tr w:rsidR="0046209A" w:rsidRPr="00400D12" w:rsidTr="00721AE5">
        <w:tc>
          <w:tcPr>
            <w:tcW w:w="4186" w:type="dxa"/>
            <w:shd w:val="clear" w:color="auto" w:fill="FFE599"/>
          </w:tcPr>
          <w:p w:rsidR="0046209A" w:rsidRDefault="0046209A" w:rsidP="0046209A">
            <w:pPr>
              <w:spacing w:before="120" w:after="120"/>
              <w:rPr>
                <w:b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10131" w:type="dxa"/>
            <w:shd w:val="clear" w:color="auto" w:fill="auto"/>
          </w:tcPr>
          <w:p w:rsidR="0046209A" w:rsidRPr="00400D12" w:rsidRDefault="00C61CE5" w:rsidP="0046209A">
            <w:pPr>
              <w:rPr>
                <w:lang w:val="pl-PL"/>
              </w:rPr>
            </w:pPr>
            <w:r w:rsidRPr="00400D12">
              <w:rPr>
                <w:lang w:val="pl-PL"/>
              </w:rPr>
              <w:t xml:space="preserve">Uczniowie będą w stanie </w:t>
            </w:r>
            <w:r w:rsidR="00721AE5" w:rsidRPr="00400D12">
              <w:rPr>
                <w:lang w:val="pl-PL"/>
              </w:rPr>
              <w:t>wskazać właściwe i niewłaściwe zachowania</w:t>
            </w:r>
            <w:r w:rsidRPr="00400D12">
              <w:rPr>
                <w:lang w:val="pl-PL"/>
              </w:rPr>
              <w:t xml:space="preserve"> podczas rozmowy kwalifikacyjnej</w:t>
            </w:r>
            <w:r w:rsidR="00721AE5" w:rsidRPr="00400D12">
              <w:rPr>
                <w:lang w:val="pl-PL"/>
              </w:rPr>
              <w:t>.</w:t>
            </w:r>
          </w:p>
        </w:tc>
      </w:tr>
      <w:tr w:rsidR="0046209A" w:rsidRPr="00400D12" w:rsidTr="00721AE5">
        <w:tc>
          <w:tcPr>
            <w:tcW w:w="4186" w:type="dxa"/>
            <w:shd w:val="clear" w:color="auto" w:fill="FFE599"/>
          </w:tcPr>
          <w:p w:rsidR="0046209A" w:rsidRDefault="00721AE5" w:rsidP="0046209A">
            <w:pPr>
              <w:spacing w:before="120" w:after="120"/>
              <w:rPr>
                <w:b/>
                <w:lang w:val="pl-PL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Kontynuacja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31" w:type="dxa"/>
            <w:shd w:val="clear" w:color="auto" w:fill="auto"/>
          </w:tcPr>
          <w:p w:rsidR="0046209A" w:rsidRPr="0046209A" w:rsidRDefault="00721AE5" w:rsidP="0046209A">
            <w:pPr>
              <w:rPr>
                <w:lang w:val="pl-PL"/>
              </w:rPr>
            </w:pPr>
            <w:r w:rsidRPr="00400D12">
              <w:rPr>
                <w:lang w:val="pl-PL"/>
              </w:rPr>
              <w:t>Prowadzenie pozorowanych rozmów kwalifikacyjnych, które pozwolą im zdobyć doświadczeni</w:t>
            </w:r>
            <w:r w:rsidR="00932E5C" w:rsidRPr="00400D12">
              <w:rPr>
                <w:lang w:val="pl-PL"/>
              </w:rPr>
              <w:t>e w rozmowach kwalifikacyjnych</w:t>
            </w:r>
            <w:r w:rsidRPr="00400D12">
              <w:rPr>
                <w:lang w:val="pl-PL"/>
              </w:rPr>
              <w:t>.</w:t>
            </w:r>
          </w:p>
        </w:tc>
      </w:tr>
    </w:tbl>
    <w:p w:rsidR="00727917" w:rsidRPr="00400D12" w:rsidRDefault="00727917">
      <w:pPr>
        <w:rPr>
          <w:lang w:val="pl-PL"/>
        </w:rPr>
      </w:pPr>
    </w:p>
    <w:p w:rsidR="00F52B4C" w:rsidRPr="00400D12" w:rsidRDefault="00F52B4C">
      <w:pPr>
        <w:rPr>
          <w:lang w:val="pl-PL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F52B4C" w:rsidTr="00453592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F52B4C" w:rsidTr="00453592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52B4C" w:rsidRDefault="00F52B4C" w:rsidP="0045359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F52B4C" w:rsidRPr="007E56E9" w:rsidRDefault="00F52B4C" w:rsidP="00453592">
            <w:pPr>
              <w:spacing w:before="120"/>
              <w:rPr>
                <w:b/>
                <w:lang w:val="pl-PL"/>
              </w:rPr>
            </w:pPr>
            <w:r w:rsidRPr="007E56E9">
              <w:rPr>
                <w:b/>
                <w:lang w:val="pl-PL"/>
              </w:rPr>
              <w:t>Działanie 1</w:t>
            </w:r>
          </w:p>
          <w:p w:rsidR="00F52B4C" w:rsidRPr="0046209A" w:rsidRDefault="00F52B4C" w:rsidP="00453592">
            <w:pPr>
              <w:spacing w:before="120"/>
              <w:rPr>
                <w:u w:val="single"/>
                <w:lang w:val="pl-PL"/>
              </w:rPr>
            </w:pPr>
            <w:r>
              <w:rPr>
                <w:b/>
                <w:lang w:val="pl-PL"/>
              </w:rPr>
              <w:t>Cel: Wprowadzenie uczniów</w:t>
            </w:r>
            <w:r w:rsidRPr="0046209A">
              <w:rPr>
                <w:b/>
                <w:lang w:val="pl-PL"/>
              </w:rPr>
              <w:t xml:space="preserve"> do odpowiednich i nieodp</w:t>
            </w:r>
            <w:r>
              <w:rPr>
                <w:b/>
                <w:lang w:val="pl-PL"/>
              </w:rPr>
              <w:t xml:space="preserve">owiednich </w:t>
            </w:r>
            <w:proofErr w:type="spellStart"/>
            <w:r>
              <w:rPr>
                <w:b/>
                <w:lang w:val="pl-PL"/>
              </w:rPr>
              <w:t>zachowań</w:t>
            </w:r>
            <w:proofErr w:type="spellEnd"/>
            <w:r>
              <w:rPr>
                <w:b/>
                <w:lang w:val="pl-PL"/>
              </w:rPr>
              <w:t xml:space="preserve"> używanych przez pracodawcę</w:t>
            </w:r>
            <w:r w:rsidRPr="0046209A">
              <w:rPr>
                <w:b/>
                <w:lang w:val="pl-PL"/>
              </w:rPr>
              <w:t xml:space="preserve"> podczas rozmowy kwalifikacyjnej.</w:t>
            </w:r>
          </w:p>
          <w:p w:rsidR="00F52B4C" w:rsidRPr="0061272F" w:rsidRDefault="00F52B4C" w:rsidP="00453592">
            <w:pPr>
              <w:numPr>
                <w:ilvl w:val="0"/>
                <w:numId w:val="3"/>
              </w:numPr>
              <w:spacing w:before="120"/>
              <w:jc w:val="both"/>
              <w:rPr>
                <w:b/>
                <w:smallCaps/>
                <w:lang w:val="pl-PL"/>
              </w:rPr>
            </w:pPr>
            <w:r w:rsidRPr="0046209A">
              <w:rPr>
                <w:lang w:val="pl-PL"/>
              </w:rPr>
              <w:t xml:space="preserve"> </w:t>
            </w:r>
            <w:r>
              <w:rPr>
                <w:lang w:val="pl-PL"/>
              </w:rPr>
              <w:t>N: W</w:t>
            </w:r>
            <w:r w:rsidRPr="0061272F">
              <w:rPr>
                <w:lang w:val="pl-PL"/>
              </w:rPr>
              <w:t xml:space="preserve"> tej aplikacji do nauki musisz zdecydować, które zdania są dobre, a które zdania są nieodpowied</w:t>
            </w:r>
            <w:r>
              <w:rPr>
                <w:lang w:val="pl-PL"/>
              </w:rPr>
              <w:t>nie do użycia przez pracodawcę</w:t>
            </w:r>
            <w:r w:rsidRPr="0061272F">
              <w:rPr>
                <w:lang w:val="pl-PL"/>
              </w:rPr>
              <w:t xml:space="preserve"> podczas</w:t>
            </w:r>
            <w:r>
              <w:rPr>
                <w:lang w:val="pl-PL"/>
              </w:rPr>
              <w:t xml:space="preserve"> rozmowy kwalifikacyjnej. </w:t>
            </w:r>
          </w:p>
          <w:p w:rsidR="00F52B4C" w:rsidRPr="007E56E9" w:rsidRDefault="00332A40" w:rsidP="00453592">
            <w:pPr>
              <w:spacing w:before="120"/>
              <w:ind w:left="779"/>
              <w:jc w:val="both"/>
              <w:rPr>
                <w:lang w:val="pl-PL"/>
              </w:rPr>
            </w:pPr>
            <w:r>
              <w:fldChar w:fldCharType="begin"/>
            </w:r>
            <w:r w:rsidRPr="00400D12">
              <w:rPr>
                <w:lang w:val="pl-PL"/>
              </w:rPr>
              <w:instrText xml:space="preserve"> HYPERLINK "https://learningapps.org/display?v=p0b65kkf323" \h </w:instrText>
            </w:r>
            <w:r>
              <w:fldChar w:fldCharType="separate"/>
            </w:r>
            <w:r w:rsidR="00F52B4C" w:rsidRPr="007E56E9">
              <w:rPr>
                <w:color w:val="0563C1"/>
                <w:u w:val="single"/>
                <w:lang w:val="pl-PL"/>
              </w:rPr>
              <w:t>https://learningapps.org/display?v=p0b65kkf323</w:t>
            </w:r>
            <w:r>
              <w:rPr>
                <w:color w:val="0563C1"/>
                <w:u w:val="single"/>
                <w:lang w:val="pl-PL"/>
              </w:rPr>
              <w:fldChar w:fldCharType="end"/>
            </w:r>
          </w:p>
          <w:p w:rsidR="00F52B4C" w:rsidRPr="0061272F" w:rsidRDefault="00F52B4C" w:rsidP="004535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mallCaps/>
                <w:szCs w:val="24"/>
                <w:lang w:val="pl-PL"/>
              </w:rPr>
            </w:pPr>
            <w:r w:rsidRPr="0061272F">
              <w:rPr>
                <w:szCs w:val="24"/>
                <w:lang w:val="pl-PL"/>
              </w:rPr>
              <w:t xml:space="preserve"> U: </w:t>
            </w:r>
            <w:r>
              <w:rPr>
                <w:lang w:val="pl-PL"/>
              </w:rPr>
              <w:t xml:space="preserve">Praca w parach z wykorzystaniem </w:t>
            </w:r>
            <w:r w:rsidRPr="0061272F">
              <w:rPr>
                <w:lang w:val="pl-PL"/>
              </w:rPr>
              <w:t>tabletów.</w:t>
            </w:r>
          </w:p>
          <w:p w:rsidR="00F52B4C" w:rsidRPr="0061272F" w:rsidRDefault="00F52B4C" w:rsidP="00453592">
            <w:pPr>
              <w:rPr>
                <w:b/>
                <w:smallCaps/>
                <w:lang w:val="pl-PL"/>
              </w:rPr>
            </w:pP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</w:tcPr>
          <w:p w:rsidR="00F52B4C" w:rsidRPr="0061272F" w:rsidRDefault="00F52B4C" w:rsidP="00453592">
            <w:pPr>
              <w:jc w:val="center"/>
              <w:rPr>
                <w:lang w:val="pl-PL"/>
              </w:rPr>
            </w:pPr>
          </w:p>
          <w:p w:rsidR="00F52B4C" w:rsidRPr="0061272F" w:rsidRDefault="00F52B4C" w:rsidP="00453592">
            <w:pPr>
              <w:jc w:val="center"/>
              <w:rPr>
                <w:lang w:val="pl-PL"/>
              </w:rPr>
            </w:pPr>
          </w:p>
          <w:p w:rsidR="00F52B4C" w:rsidRDefault="00F52B4C" w:rsidP="00453592">
            <w:pPr>
              <w:jc w:val="center"/>
            </w:pPr>
            <w:proofErr w:type="spellStart"/>
            <w:r w:rsidRPr="0046209A">
              <w:t>Praca</w:t>
            </w:r>
            <w:proofErr w:type="spellEnd"/>
            <w:r w:rsidRPr="0046209A">
              <w:t xml:space="preserve"> w </w:t>
            </w:r>
            <w:proofErr w:type="spellStart"/>
            <w:r w:rsidRPr="0046209A">
              <w:t>parach</w:t>
            </w:r>
            <w:proofErr w:type="spellEnd"/>
          </w:p>
        </w:tc>
      </w:tr>
      <w:tr w:rsidR="00F52B4C" w:rsidTr="0045359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Pr="0061272F" w:rsidRDefault="00F52B4C" w:rsidP="00453592">
            <w:pPr>
              <w:spacing w:before="120"/>
              <w:jc w:val="both"/>
              <w:rPr>
                <w:b/>
                <w:lang w:val="pl-PL"/>
              </w:rPr>
            </w:pPr>
            <w:r w:rsidRPr="0061272F">
              <w:rPr>
                <w:b/>
                <w:lang w:val="pl-PL"/>
              </w:rPr>
              <w:t>Działanie 2</w:t>
            </w:r>
          </w:p>
          <w:p w:rsidR="00F52B4C" w:rsidRPr="0061272F" w:rsidRDefault="00F52B4C" w:rsidP="00453592">
            <w:pPr>
              <w:spacing w:before="120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Cel: U</w:t>
            </w:r>
            <w:r w:rsidRPr="0061272F">
              <w:rPr>
                <w:b/>
                <w:lang w:val="pl-PL"/>
              </w:rPr>
              <w:t>świadomi</w:t>
            </w:r>
            <w:r>
              <w:rPr>
                <w:b/>
                <w:lang w:val="pl-PL"/>
              </w:rPr>
              <w:t xml:space="preserve">enie uczniom </w:t>
            </w:r>
            <w:r w:rsidRPr="0061272F">
              <w:rPr>
                <w:b/>
                <w:lang w:val="pl-PL"/>
              </w:rPr>
              <w:t xml:space="preserve">dlaczego powinni unikać </w:t>
            </w:r>
            <w:r>
              <w:rPr>
                <w:b/>
                <w:lang w:val="pl-PL"/>
              </w:rPr>
              <w:t>pewnych zwrotów/</w:t>
            </w:r>
            <w:proofErr w:type="spellStart"/>
            <w:r>
              <w:rPr>
                <w:b/>
                <w:lang w:val="pl-PL"/>
              </w:rPr>
              <w:t>zachowań</w:t>
            </w:r>
            <w:proofErr w:type="spellEnd"/>
            <w:r w:rsidRPr="0061272F">
              <w:rPr>
                <w:b/>
                <w:lang w:val="pl-PL"/>
              </w:rPr>
              <w:t xml:space="preserve"> podczas rozmów</w:t>
            </w:r>
            <w:r>
              <w:rPr>
                <w:b/>
                <w:lang w:val="pl-PL"/>
              </w:rPr>
              <w:t xml:space="preserve"> kwalifikacyjnych. Udzielanie uczniom</w:t>
            </w:r>
            <w:r w:rsidRPr="0061272F">
              <w:rPr>
                <w:b/>
                <w:lang w:val="pl-PL"/>
              </w:rPr>
              <w:t xml:space="preserve"> wyjaśnień</w:t>
            </w:r>
            <w:r w:rsidRPr="0061272F">
              <w:rPr>
                <w:lang w:val="pl-PL"/>
              </w:rPr>
              <w:t>.</w:t>
            </w:r>
          </w:p>
          <w:p w:rsidR="00F52B4C" w:rsidRPr="0061272F" w:rsidRDefault="00F52B4C" w:rsidP="00453592">
            <w:pPr>
              <w:numPr>
                <w:ilvl w:val="0"/>
                <w:numId w:val="1"/>
              </w:numPr>
              <w:spacing w:before="120"/>
              <w:jc w:val="both"/>
              <w:rPr>
                <w:lang w:val="pl-PL"/>
              </w:rPr>
            </w:pPr>
            <w:r>
              <w:rPr>
                <w:lang w:val="pl-PL"/>
              </w:rPr>
              <w:t>N: Teraz dowiesz się</w:t>
            </w:r>
            <w:r w:rsidRPr="0061272F">
              <w:rPr>
                <w:lang w:val="pl-PL"/>
              </w:rPr>
              <w:t xml:space="preserve"> dlaczego bardzo wskazane jest unikanie wypowiadania pewnych zdań podczas rozmów kwalifikacyjnych. W tym zadaniu musisz dopasować zdania wywiadu do wyjaśnień ich niestosowności.  </w:t>
            </w:r>
            <w:r w:rsidR="00332A40">
              <w:fldChar w:fldCharType="begin"/>
            </w:r>
            <w:r w:rsidR="00332A40" w:rsidRPr="00400D12">
              <w:rPr>
                <w:lang w:val="pl-PL"/>
              </w:rPr>
              <w:instrText xml:space="preserve"> HYPERLINK "https://learningapps.org/display?v=p5kxt9agt23" \h </w:instrText>
            </w:r>
            <w:r w:rsidR="00332A40">
              <w:fldChar w:fldCharType="separate"/>
            </w:r>
            <w:r w:rsidRPr="0061272F">
              <w:rPr>
                <w:color w:val="0563C1"/>
                <w:u w:val="single"/>
                <w:lang w:val="pl-PL"/>
              </w:rPr>
              <w:t>https://learningapps.org/display?v=p5kxt9agt23</w:t>
            </w:r>
            <w:r w:rsidR="00332A40">
              <w:rPr>
                <w:color w:val="0563C1"/>
                <w:u w:val="single"/>
                <w:lang w:val="pl-PL"/>
              </w:rPr>
              <w:fldChar w:fldCharType="end"/>
            </w:r>
          </w:p>
          <w:p w:rsidR="00F52B4C" w:rsidRPr="0061272F" w:rsidRDefault="00F52B4C" w:rsidP="00453592">
            <w:pPr>
              <w:numPr>
                <w:ilvl w:val="0"/>
                <w:numId w:val="1"/>
              </w:numPr>
              <w:spacing w:before="120"/>
              <w:rPr>
                <w:lang w:val="pl-PL"/>
              </w:rPr>
            </w:pPr>
            <w:r w:rsidRPr="0061272F">
              <w:rPr>
                <w:lang w:val="pl-PL"/>
              </w:rPr>
              <w:t xml:space="preserve">U: </w:t>
            </w:r>
            <w:r>
              <w:rPr>
                <w:lang w:val="pl-PL"/>
              </w:rPr>
              <w:t xml:space="preserve">Praca </w:t>
            </w:r>
            <w:r w:rsidRPr="0061272F">
              <w:rPr>
                <w:lang w:val="pl-PL"/>
              </w:rPr>
              <w:t>w parach na tabletach.</w:t>
            </w:r>
          </w:p>
          <w:p w:rsidR="00F52B4C" w:rsidRDefault="00F52B4C" w:rsidP="004535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Cs w:val="24"/>
              </w:rPr>
            </w:pPr>
            <w:r w:rsidRPr="0061272F">
              <w:rPr>
                <w:szCs w:val="24"/>
                <w:lang w:val="pl-PL"/>
              </w:rPr>
              <w:t xml:space="preserve">N: </w:t>
            </w:r>
            <w:r>
              <w:rPr>
                <w:szCs w:val="24"/>
                <w:lang w:val="pl-PL"/>
              </w:rPr>
              <w:t>Jeśli nie rozumiesz słowa możesz wyszukać</w:t>
            </w:r>
            <w:r w:rsidRPr="0061272F">
              <w:rPr>
                <w:szCs w:val="24"/>
                <w:lang w:val="pl-PL"/>
              </w:rPr>
              <w:t xml:space="preserve"> je w słowniku online. </w:t>
            </w:r>
            <w:proofErr w:type="spellStart"/>
            <w:r w:rsidRPr="0061272F">
              <w:rPr>
                <w:szCs w:val="24"/>
              </w:rPr>
              <w:t>Zbierzmy</w:t>
            </w:r>
            <w:proofErr w:type="spellEnd"/>
            <w:r w:rsidRPr="0061272F">
              <w:rPr>
                <w:szCs w:val="24"/>
              </w:rPr>
              <w:t xml:space="preserve"> </w:t>
            </w:r>
            <w:proofErr w:type="spellStart"/>
            <w:r w:rsidRPr="0061272F">
              <w:rPr>
                <w:szCs w:val="24"/>
              </w:rPr>
              <w:t>nowe</w:t>
            </w:r>
            <w:proofErr w:type="spellEnd"/>
            <w:r w:rsidRPr="0061272F">
              <w:rPr>
                <w:szCs w:val="24"/>
              </w:rPr>
              <w:t xml:space="preserve"> </w:t>
            </w:r>
            <w:proofErr w:type="spellStart"/>
            <w:r w:rsidRPr="0061272F">
              <w:rPr>
                <w:szCs w:val="24"/>
              </w:rPr>
              <w:t>słowa</w:t>
            </w:r>
            <w:proofErr w:type="spellEnd"/>
            <w:r w:rsidRPr="0061272F">
              <w:rPr>
                <w:szCs w:val="24"/>
              </w:rPr>
              <w:t xml:space="preserve"> w </w:t>
            </w:r>
            <w:proofErr w:type="spellStart"/>
            <w:r w:rsidRPr="0061272F">
              <w:rPr>
                <w:szCs w:val="24"/>
              </w:rPr>
              <w:t>udostępnionym</w:t>
            </w:r>
            <w:proofErr w:type="spellEnd"/>
            <w:r w:rsidRPr="0061272F">
              <w:rPr>
                <w:szCs w:val="24"/>
              </w:rPr>
              <w:t xml:space="preserve"> </w:t>
            </w:r>
            <w:proofErr w:type="spellStart"/>
            <w:r w:rsidRPr="0061272F">
              <w:rPr>
                <w:szCs w:val="24"/>
              </w:rPr>
              <w:t>dokumencie</w:t>
            </w:r>
            <w:proofErr w:type="spellEnd"/>
            <w:r w:rsidRPr="0061272F">
              <w:rPr>
                <w:szCs w:val="24"/>
              </w:rPr>
              <w:t xml:space="preserve"> google</w:t>
            </w:r>
            <w:r>
              <w:rPr>
                <w:szCs w:val="24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Default="00F52B4C" w:rsidP="00453592">
            <w:pPr>
              <w:jc w:val="center"/>
            </w:pPr>
          </w:p>
          <w:p w:rsidR="00F52B4C" w:rsidRDefault="00F52B4C" w:rsidP="00453592">
            <w:pPr>
              <w:jc w:val="center"/>
            </w:pPr>
          </w:p>
          <w:p w:rsidR="00F52B4C" w:rsidRDefault="00F52B4C" w:rsidP="00453592">
            <w:pPr>
              <w:jc w:val="center"/>
            </w:pPr>
          </w:p>
          <w:p w:rsidR="00F52B4C" w:rsidRDefault="00F52B4C" w:rsidP="00453592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61272F">
              <w:t>Praca</w:t>
            </w:r>
            <w:proofErr w:type="spellEnd"/>
            <w:r w:rsidRPr="0061272F">
              <w:t xml:space="preserve"> w </w:t>
            </w:r>
            <w:proofErr w:type="spellStart"/>
            <w:r w:rsidRPr="0061272F">
              <w:t>parach</w:t>
            </w:r>
            <w:proofErr w:type="spellEnd"/>
          </w:p>
        </w:tc>
      </w:tr>
      <w:tr w:rsidR="00F52B4C" w:rsidTr="0045359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Pr="0061272F" w:rsidRDefault="00F52B4C" w:rsidP="00453592">
            <w:pPr>
              <w:spacing w:after="120"/>
              <w:rPr>
                <w:b/>
                <w:lang w:val="pl-PL"/>
              </w:rPr>
            </w:pPr>
            <w:r w:rsidRPr="0061272F">
              <w:rPr>
                <w:b/>
                <w:lang w:val="pl-PL"/>
              </w:rPr>
              <w:t>Pr</w:t>
            </w:r>
            <w:r>
              <w:rPr>
                <w:b/>
                <w:lang w:val="pl-PL"/>
              </w:rPr>
              <w:t>zypisanie zadania dla ucznia na następną lekcję</w:t>
            </w:r>
            <w:r w:rsidRPr="0061272F">
              <w:rPr>
                <w:b/>
                <w:lang w:val="pl-PL"/>
              </w:rPr>
              <w:t>:</w:t>
            </w:r>
          </w:p>
          <w:p w:rsidR="00F52B4C" w:rsidRPr="00B55FA3" w:rsidRDefault="00F52B4C" w:rsidP="004535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</w:t>
            </w:r>
            <w:r w:rsidRPr="00B55FA3">
              <w:rPr>
                <w:szCs w:val="24"/>
                <w:lang w:val="pl-PL"/>
              </w:rPr>
              <w:t xml:space="preserve">: Będziesz musiał popracować nad grą ścienną. Zakręć kołem fortuny trzy razy. Zapisz trzy pytania na rozmowę kwalifikacyjną i spróbuj odpowiedzieć na nie w zeszycie ćwiczeń. </w:t>
            </w:r>
            <w:r w:rsidR="00332A40">
              <w:fldChar w:fldCharType="begin"/>
            </w:r>
            <w:r w:rsidR="00332A40" w:rsidRPr="00400D12">
              <w:rPr>
                <w:lang w:val="pl-PL"/>
              </w:rPr>
              <w:instrText xml:space="preserve"> HYPERLINK "https://wordwall.net/hu/resource/53896882" \h </w:instrText>
            </w:r>
            <w:r w:rsidR="00332A40">
              <w:fldChar w:fldCharType="separate"/>
            </w:r>
            <w:r w:rsidRPr="00B55FA3">
              <w:rPr>
                <w:color w:val="0563C1"/>
                <w:szCs w:val="24"/>
                <w:u w:val="single"/>
                <w:lang w:val="pl-PL"/>
              </w:rPr>
              <w:t>https://wordwall.net/hu/resource/53896882</w:t>
            </w:r>
            <w:r w:rsidR="00332A40">
              <w:rPr>
                <w:color w:val="0563C1"/>
                <w:szCs w:val="24"/>
                <w:u w:val="single"/>
                <w:lang w:val="pl-PL"/>
              </w:rPr>
              <w:fldChar w:fldCharType="end"/>
            </w:r>
          </w:p>
          <w:p w:rsidR="00F52B4C" w:rsidRPr="00B55FA3" w:rsidRDefault="00F52B4C" w:rsidP="004535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b/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</w:t>
            </w:r>
            <w:r w:rsidRPr="00B55FA3">
              <w:rPr>
                <w:szCs w:val="24"/>
                <w:lang w:val="pl-PL"/>
              </w:rPr>
              <w:t xml:space="preserve">: </w:t>
            </w:r>
            <w:r>
              <w:rPr>
                <w:szCs w:val="24"/>
                <w:lang w:val="pl-PL"/>
              </w:rPr>
              <w:t>P</w:t>
            </w:r>
            <w:r w:rsidRPr="00B55FA3">
              <w:rPr>
                <w:szCs w:val="24"/>
                <w:lang w:val="pl-PL"/>
              </w:rPr>
              <w:t xml:space="preserve">okazuje </w:t>
            </w:r>
            <w:proofErr w:type="spellStart"/>
            <w:r>
              <w:rPr>
                <w:szCs w:val="24"/>
                <w:lang w:val="pl-PL"/>
              </w:rPr>
              <w:t>uczniam</w:t>
            </w:r>
            <w:proofErr w:type="spellEnd"/>
            <w:r>
              <w:rPr>
                <w:szCs w:val="24"/>
                <w:lang w:val="pl-PL"/>
              </w:rPr>
              <w:t xml:space="preserve"> </w:t>
            </w:r>
            <w:r w:rsidRPr="00B55FA3">
              <w:rPr>
                <w:szCs w:val="24"/>
                <w:lang w:val="pl-PL"/>
              </w:rPr>
              <w:t xml:space="preserve">słowo </w:t>
            </w:r>
            <w:r>
              <w:rPr>
                <w:szCs w:val="24"/>
                <w:lang w:val="pl-PL"/>
              </w:rPr>
              <w:t xml:space="preserve">w grze „Koło Fortuny” </w:t>
            </w:r>
            <w:r w:rsidRPr="00B55FA3">
              <w:rPr>
                <w:szCs w:val="24"/>
                <w:lang w:val="pl-PL"/>
              </w:rPr>
              <w:t>demonstrując na przykładzie, jak wykonać to zadanie.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52B4C" w:rsidRDefault="00F52B4C" w:rsidP="00453592">
            <w:pPr>
              <w:spacing w:before="240" w:after="240"/>
              <w:jc w:val="center"/>
            </w:pPr>
            <w:proofErr w:type="spellStart"/>
            <w:r w:rsidRPr="0061272F">
              <w:t>Praca</w:t>
            </w:r>
            <w:proofErr w:type="spellEnd"/>
            <w:r w:rsidRPr="0061272F">
              <w:t xml:space="preserve"> </w:t>
            </w:r>
            <w:proofErr w:type="spellStart"/>
            <w:r w:rsidRPr="0061272F">
              <w:t>indywidualna</w:t>
            </w:r>
            <w:proofErr w:type="spellEnd"/>
          </w:p>
        </w:tc>
      </w:tr>
    </w:tbl>
    <w:p w:rsidR="00F52B4C" w:rsidRDefault="00F52B4C" w:rsidP="00F52B4C"/>
    <w:p w:rsidR="00F52B4C" w:rsidRDefault="00F52B4C"/>
    <w:p w:rsidR="00727917" w:rsidRDefault="00727917"/>
    <w:sectPr w:rsidR="00727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40" w:rsidRDefault="00332A40">
      <w:r>
        <w:separator/>
      </w:r>
    </w:p>
  </w:endnote>
  <w:endnote w:type="continuationSeparator" w:id="0">
    <w:p w:rsidR="00332A40" w:rsidRDefault="003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72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400D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35B5BE" wp14:editId="0E8A07E1">
              <wp:simplePos x="0" y="0"/>
              <wp:positionH relativeFrom="column">
                <wp:posOffset>-308610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D12" w:rsidRPr="00665D1C" w:rsidRDefault="00400D12" w:rsidP="00400D1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D12" w:rsidRPr="005B584A" w:rsidRDefault="00400D12" w:rsidP="00400D1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400D12" w:rsidRDefault="00400D12" w:rsidP="00400D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iNcC3hAAAACwEAAA8AAABkcnMvZG93bnJl&#10;di54bWxMj8FqwkAQhu+FvsMyQm+6iY1BYzYi0vYkhWqh9DYmYxLMzobsmsS373qqtxnm45/vTzej&#10;bkRPna0NKwhnAQji3BQ1lwq+j+/TJQjrkAtsDJOCG1nYZM9PKSaFGfiL+oMrhQ9hm6CCyrk2kdLm&#10;FWm0M9MS+9vZdBqdX7tSFh0OPlw3ch4EsdRYs/9QYUu7ivLL4aoVfAw4bF/Dt35/Oe9uv8fF588+&#10;JKVeJuN2DcLR6P5huOt7dci808lcubCiUTCNlrFH/TAPQhB3IlrEEYiTgni1Apml8rFD9g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6I1wL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400D12" w:rsidRPr="00665D1C" w:rsidRDefault="00400D12" w:rsidP="00400D1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400D12" w:rsidRPr="005B584A" w:rsidRDefault="00400D12" w:rsidP="00400D1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400D12" w:rsidRDefault="00400D12" w:rsidP="00400D1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72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40" w:rsidRDefault="00332A40">
      <w:r>
        <w:separator/>
      </w:r>
    </w:p>
  </w:footnote>
  <w:footnote w:type="continuationSeparator" w:id="0">
    <w:p w:rsidR="00332A40" w:rsidRDefault="0033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72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F165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szCs w:val="24"/>
        <w:lang w:val="pl-PL" w:eastAsia="pl-PL"/>
      </w:rPr>
      <w:drawing>
        <wp:inline distT="0" distB="0" distL="0" distR="0">
          <wp:extent cx="8891270" cy="9448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127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17" w:rsidRDefault="007279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638"/>
    <w:multiLevelType w:val="multilevel"/>
    <w:tmpl w:val="D504ABC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DF0D5E"/>
    <w:multiLevelType w:val="multilevel"/>
    <w:tmpl w:val="15EA06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185291"/>
    <w:multiLevelType w:val="multilevel"/>
    <w:tmpl w:val="A4AAB3D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17"/>
    <w:rsid w:val="00200411"/>
    <w:rsid w:val="00332A40"/>
    <w:rsid w:val="003A7B93"/>
    <w:rsid w:val="00400D12"/>
    <w:rsid w:val="0046209A"/>
    <w:rsid w:val="00590489"/>
    <w:rsid w:val="0061272F"/>
    <w:rsid w:val="00721AE5"/>
    <w:rsid w:val="00727917"/>
    <w:rsid w:val="007E56E9"/>
    <w:rsid w:val="00932E5C"/>
    <w:rsid w:val="00AC508B"/>
    <w:rsid w:val="00B55FA3"/>
    <w:rsid w:val="00C61CE5"/>
    <w:rsid w:val="00C8753F"/>
    <w:rsid w:val="00DB29F6"/>
    <w:rsid w:val="00F16563"/>
    <w:rsid w:val="00F5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0652E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52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652E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D286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D12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0652E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52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652E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D286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D12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+5c5sBUzPpq797K4J3XmER9qow==">AMUW2mVp1Y0K8PJc6EJWnoQiaBj0VXqcUX4OEdB4gSBFtRen2DymvZYHI12dpi0QTxzAlsgnw+dSgMqeh2hTNUqUjXBXrgKoUoxnnnGh1BpuNhEDq1BrEzA=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2023-05-11T18:14:00Z</dcterms:created>
  <dcterms:modified xsi:type="dcterms:W3CDTF">2023-10-05T08:04:00Z</dcterms:modified>
</cp:coreProperties>
</file>