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625" w:rsidRDefault="004C1942">
      <w:pPr>
        <w:shd w:val="clear" w:color="auto" w:fill="FFE599"/>
        <w:jc w:val="center"/>
        <w:rPr>
          <w:b/>
        </w:rPr>
      </w:pPr>
      <w:r>
        <w:rPr>
          <w:b/>
        </w:rPr>
        <w:t>Lesson Plan</w:t>
      </w:r>
    </w:p>
    <w:p w:rsidR="00EC2625" w:rsidRDefault="00EC2625">
      <w:pPr>
        <w:jc w:val="center"/>
        <w:rPr>
          <w:b/>
        </w:rPr>
      </w:pPr>
    </w:p>
    <w:tbl>
      <w:tblPr>
        <w:tblStyle w:val="a"/>
        <w:tblW w:w="14027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22"/>
      </w:tblGrid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</w:pPr>
            <w:r>
              <w:rPr>
                <w:b/>
                <w:sz w:val="22"/>
                <w:szCs w:val="22"/>
              </w:rPr>
              <w:t>Level, age of the students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0F3E8B">
            <w:pPr>
              <w:spacing w:before="120" w:after="120"/>
              <w:rPr>
                <w:sz w:val="22"/>
                <w:szCs w:val="22"/>
                <w:lang w:val="pl-PL" w:eastAsia="hu-HU"/>
              </w:rPr>
            </w:pPr>
            <w:r>
              <w:rPr>
                <w:sz w:val="22"/>
                <w:szCs w:val="22"/>
                <w:lang w:val="pl-PL"/>
              </w:rPr>
              <w:t xml:space="preserve">15 - 18 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E36579">
            <w:pPr>
              <w:spacing w:before="120" w:after="120"/>
              <w:rPr>
                <w:color w:val="000000"/>
                <w:lang w:val="pl-PL" w:eastAsia="hu-HU"/>
              </w:rPr>
            </w:pPr>
            <w:proofErr w:type="spellStart"/>
            <w:r>
              <w:rPr>
                <w:lang w:val="pl-PL"/>
              </w:rPr>
              <w:t>Graph</w:t>
            </w:r>
            <w:proofErr w:type="spellEnd"/>
            <w:r>
              <w:rPr>
                <w:lang w:val="pl-PL"/>
              </w:rPr>
              <w:t xml:space="preserve"> of the </w:t>
            </w:r>
            <w:proofErr w:type="spellStart"/>
            <w:r>
              <w:rPr>
                <w:lang w:val="pl-PL"/>
              </w:rPr>
              <w:t>function</w:t>
            </w:r>
            <w:proofErr w:type="spellEnd"/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Subjects involved: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B104A3" w:rsidP="00E36579">
            <w:pPr>
              <w:spacing w:before="120" w:after="120"/>
              <w:rPr>
                <w:lang w:val="pl-PL" w:eastAsia="hu-HU"/>
              </w:rPr>
            </w:pPr>
            <w:proofErr w:type="spellStart"/>
            <w:r>
              <w:rPr>
                <w:lang w:val="pl-PL"/>
              </w:rPr>
              <w:t>Enterpreneurship</w:t>
            </w:r>
            <w:proofErr w:type="spellEnd"/>
            <w:r w:rsidR="00802FDE">
              <w:rPr>
                <w:lang w:val="pl-PL"/>
              </w:rPr>
              <w:t xml:space="preserve">, </w:t>
            </w:r>
            <w:r w:rsidR="00E36579">
              <w:rPr>
                <w:lang w:val="pl-PL"/>
              </w:rPr>
              <w:t>IT</w:t>
            </w:r>
            <w:r w:rsidR="00802FDE">
              <w:rPr>
                <w:lang w:val="pl-PL"/>
              </w:rPr>
              <w:t xml:space="preserve">. </w:t>
            </w:r>
          </w:p>
        </w:tc>
      </w:tr>
      <w:tr w:rsidR="00802FDE" w:rsidRPr="00A7014F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Aims: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B6EF0" w:rsidRPr="000A571B" w:rsidRDefault="0049272D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0A571B">
              <w:rPr>
                <w:rFonts w:ascii="Times New Roman" w:hAnsi="Times New Roman" w:cs="Times New Roman"/>
                <w:lang w:val="en-GB"/>
              </w:rPr>
              <w:t xml:space="preserve">Training skills of reading and interpreting information presented </w:t>
            </w:r>
            <w:r w:rsidR="000A571B" w:rsidRPr="000A571B">
              <w:rPr>
                <w:rFonts w:ascii="Times New Roman" w:hAnsi="Times New Roman" w:cs="Times New Roman"/>
                <w:lang w:val="en-GB"/>
              </w:rPr>
              <w:t>on</w:t>
            </w:r>
            <w:r w:rsidRPr="000A571B">
              <w:rPr>
                <w:rFonts w:ascii="Times New Roman" w:hAnsi="Times New Roman" w:cs="Times New Roman"/>
                <w:lang w:val="en-GB"/>
              </w:rPr>
              <w:t xml:space="preserve"> graphs which </w:t>
            </w:r>
            <w:r w:rsidR="000A571B" w:rsidRPr="000A571B">
              <w:rPr>
                <w:rFonts w:ascii="Times New Roman" w:hAnsi="Times New Roman" w:cs="Times New Roman"/>
                <w:lang w:val="en-GB"/>
              </w:rPr>
              <w:t xml:space="preserve">show phenomena </w:t>
            </w:r>
            <w:r w:rsidR="000A571B">
              <w:rPr>
                <w:rFonts w:ascii="Times New Roman" w:hAnsi="Times New Roman" w:cs="Times New Roman"/>
                <w:lang w:val="en-GB"/>
              </w:rPr>
              <w:t>that take</w:t>
            </w:r>
            <w:r w:rsidR="000A571B" w:rsidRPr="000A571B">
              <w:rPr>
                <w:rFonts w:ascii="Times New Roman" w:hAnsi="Times New Roman" w:cs="Times New Roman"/>
                <w:lang w:val="en-GB"/>
              </w:rPr>
              <w:t xml:space="preserve"> place in ordinary life. </w:t>
            </w:r>
            <w:r w:rsidRPr="000A571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  <w:p w:rsidR="00802FDE" w:rsidRPr="00E3229C" w:rsidRDefault="00BA3868">
            <w:pPr>
              <w:pStyle w:val="Default"/>
              <w:rPr>
                <w:rFonts w:ascii="Times New Roman" w:hAnsi="Times New Roman" w:cs="Times New Roman"/>
                <w:lang w:val="en-GB"/>
              </w:rPr>
            </w:pPr>
            <w:r w:rsidRPr="00E3229C">
              <w:rPr>
                <w:rFonts w:ascii="Times New Roman" w:hAnsi="Times New Roman" w:cs="Times New Roman"/>
                <w:lang w:val="en-GB"/>
              </w:rPr>
              <w:t xml:space="preserve">Making students </w:t>
            </w:r>
            <w:r w:rsidR="00E3229C" w:rsidRPr="00E3229C">
              <w:rPr>
                <w:rFonts w:ascii="Times New Roman" w:hAnsi="Times New Roman" w:cs="Times New Roman"/>
                <w:lang w:val="en-GB"/>
              </w:rPr>
              <w:t xml:space="preserve">aware in which occupations and </w:t>
            </w:r>
            <w:r w:rsidR="00E3229C">
              <w:rPr>
                <w:rFonts w:ascii="Times New Roman" w:hAnsi="Times New Roman" w:cs="Times New Roman"/>
                <w:lang w:val="en-GB"/>
              </w:rPr>
              <w:t>life activities mathematical skills are used.</w:t>
            </w:r>
          </w:p>
          <w:p w:rsidR="00802FDE" w:rsidRPr="00A7014F" w:rsidRDefault="00E3229C" w:rsidP="00A7014F">
            <w:pPr>
              <w:spacing w:before="120" w:after="120"/>
              <w:jc w:val="both"/>
              <w:rPr>
                <w:lang w:val="en-GB"/>
              </w:rPr>
            </w:pPr>
            <w:r w:rsidRPr="00E3229C">
              <w:rPr>
                <w:lang w:val="en-GB"/>
              </w:rPr>
              <w:t xml:space="preserve">Promotion of Maths in context of </w:t>
            </w:r>
            <w:r w:rsidR="00A7014F">
              <w:rPr>
                <w:lang w:val="en-GB"/>
              </w:rPr>
              <w:t>educational and occupational choices.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Suggested # of students per group: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1C0379" w:rsidP="001C0379">
            <w:pPr>
              <w:spacing w:before="120" w:after="120"/>
              <w:rPr>
                <w:lang w:val="pl-PL" w:eastAsia="hu-HU"/>
              </w:rPr>
            </w:pPr>
            <w:proofErr w:type="spellStart"/>
            <w:r>
              <w:rPr>
                <w:lang w:val="pl-PL"/>
              </w:rPr>
              <w:t>Individual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work</w:t>
            </w:r>
            <w:proofErr w:type="spellEnd"/>
            <w:r w:rsidR="00802FDE">
              <w:rPr>
                <w:lang w:val="pl-PL"/>
              </w:rPr>
              <w:t>/</w:t>
            </w:r>
            <w:proofErr w:type="spellStart"/>
            <w:r>
              <w:rPr>
                <w:lang w:val="pl-PL"/>
              </w:rPr>
              <w:t>group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work</w:t>
            </w:r>
            <w:proofErr w:type="spellEnd"/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Time of the main activity: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Default="00496EAB">
            <w:pPr>
              <w:spacing w:before="120" w:after="120"/>
              <w:rPr>
                <w:color w:val="000000"/>
                <w:lang w:val="pl-PL" w:eastAsia="hu-HU"/>
              </w:rPr>
            </w:pPr>
            <w:r>
              <w:rPr>
                <w:lang w:val="pl-PL"/>
              </w:rPr>
              <w:t>5-10</w:t>
            </w:r>
            <w:r w:rsidR="002109A3">
              <w:rPr>
                <w:lang w:val="pl-PL"/>
              </w:rPr>
              <w:t>’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Material: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49272D" w:rsidRDefault="00496EAB">
            <w:pPr>
              <w:spacing w:before="120" w:after="120"/>
              <w:rPr>
                <w:color w:val="000000"/>
                <w:lang w:val="en-GB" w:eastAsia="hu-HU"/>
              </w:rPr>
            </w:pPr>
            <w:r w:rsidRPr="0049272D">
              <w:rPr>
                <w:lang w:val="en-GB"/>
              </w:rPr>
              <w:t>A task with a gap</w:t>
            </w:r>
            <w:r w:rsidR="00802FDE" w:rsidRPr="0049272D">
              <w:rPr>
                <w:lang w:val="en-GB"/>
              </w:rPr>
              <w:t>.</w:t>
            </w:r>
          </w:p>
        </w:tc>
      </w:tr>
      <w:tr w:rsidR="00802FDE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Competences: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C14453" w:rsidRDefault="00C14453">
            <w:pPr>
              <w:spacing w:line="360" w:lineRule="auto"/>
              <w:rPr>
                <w:color w:val="000000"/>
                <w:szCs w:val="20"/>
                <w:lang w:val="en-GB" w:eastAsia="hu-HU"/>
              </w:rPr>
            </w:pPr>
            <w:r w:rsidRPr="00C14453">
              <w:rPr>
                <w:lang w:val="en-GB"/>
              </w:rPr>
              <w:t>Mathematical competence</w:t>
            </w:r>
            <w:r w:rsidR="00802FDE" w:rsidRPr="00C14453">
              <w:rPr>
                <w:lang w:val="en-GB"/>
              </w:rPr>
              <w:t xml:space="preserve">. </w:t>
            </w:r>
          </w:p>
          <w:p w:rsidR="00802FDE" w:rsidRPr="00C14453" w:rsidRDefault="00C14453">
            <w:pPr>
              <w:spacing w:line="360" w:lineRule="auto"/>
              <w:rPr>
                <w:lang w:val="en-GB"/>
              </w:rPr>
            </w:pPr>
            <w:r w:rsidRPr="00C14453">
              <w:rPr>
                <w:lang w:val="en-GB"/>
              </w:rPr>
              <w:t>Technical and scientific competence</w:t>
            </w:r>
            <w:r w:rsidR="00802FDE" w:rsidRPr="00C14453">
              <w:rPr>
                <w:lang w:val="en-GB"/>
              </w:rPr>
              <w:t>.</w:t>
            </w:r>
          </w:p>
          <w:p w:rsidR="00802FDE" w:rsidRPr="00533AFD" w:rsidRDefault="003D7E60">
            <w:pPr>
              <w:spacing w:line="360" w:lineRule="auto"/>
              <w:rPr>
                <w:lang w:val="en-GB"/>
              </w:rPr>
            </w:pPr>
            <w:r w:rsidRPr="00533AFD">
              <w:rPr>
                <w:lang w:val="en-GB"/>
              </w:rPr>
              <w:t>IT competence</w:t>
            </w:r>
            <w:r w:rsidR="00802FDE" w:rsidRPr="00533AFD">
              <w:rPr>
                <w:lang w:val="en-GB"/>
              </w:rPr>
              <w:t xml:space="preserve">. </w:t>
            </w:r>
          </w:p>
          <w:p w:rsidR="00802FDE" w:rsidRPr="00533AFD" w:rsidRDefault="003D7E60">
            <w:pPr>
              <w:spacing w:line="360" w:lineRule="auto"/>
              <w:rPr>
                <w:lang w:val="en-GB"/>
              </w:rPr>
            </w:pPr>
            <w:r w:rsidRPr="00533AFD">
              <w:rPr>
                <w:lang w:val="en-GB"/>
              </w:rPr>
              <w:t>Communication in native language</w:t>
            </w:r>
            <w:r w:rsidR="00802FDE" w:rsidRPr="00533AFD">
              <w:rPr>
                <w:lang w:val="en-GB"/>
              </w:rPr>
              <w:t>.</w:t>
            </w:r>
          </w:p>
          <w:p w:rsidR="00802FDE" w:rsidRPr="00533AFD" w:rsidRDefault="007371B5">
            <w:pPr>
              <w:spacing w:line="360" w:lineRule="auto"/>
              <w:rPr>
                <w:color w:val="000000"/>
                <w:lang w:val="en-GB" w:eastAsia="hu-HU"/>
              </w:rPr>
            </w:pPr>
            <w:r w:rsidRPr="00533AFD">
              <w:rPr>
                <w:lang w:val="en-GB"/>
              </w:rPr>
              <w:t>Social competence</w:t>
            </w:r>
            <w:r w:rsidR="00802FDE" w:rsidRPr="00533AFD">
              <w:rPr>
                <w:lang w:val="en-GB"/>
              </w:rPr>
              <w:t>.</w:t>
            </w:r>
          </w:p>
        </w:tc>
      </w:tr>
      <w:tr w:rsidR="00802FDE" w:rsidRPr="00F009A3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t>Preparatory actions if any: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F009A3" w:rsidRDefault="008F0BB3">
            <w:pPr>
              <w:spacing w:before="120" w:after="120"/>
              <w:rPr>
                <w:lang w:val="en-GB"/>
              </w:rPr>
            </w:pPr>
            <w:r w:rsidRPr="00F009A3">
              <w:rPr>
                <w:lang w:val="en-GB"/>
              </w:rPr>
              <w:t xml:space="preserve">Description of function properties on the basis of a graph. </w:t>
            </w:r>
          </w:p>
        </w:tc>
      </w:tr>
      <w:tr w:rsidR="00802FDE" w:rsidRPr="00113AE5" w:rsidTr="00473A23">
        <w:tc>
          <w:tcPr>
            <w:tcW w:w="4200" w:type="dxa"/>
            <w:gridSpan w:val="2"/>
            <w:shd w:val="clear" w:color="auto" w:fill="FFE599"/>
          </w:tcPr>
          <w:p w:rsidR="00802FDE" w:rsidRPr="008F0BB3" w:rsidRDefault="00802FDE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8F0BB3">
              <w:rPr>
                <w:b/>
                <w:lang w:val="pl-PL"/>
              </w:rPr>
              <w:t>Expected</w:t>
            </w:r>
            <w:proofErr w:type="spellEnd"/>
            <w:r w:rsidRPr="008F0BB3">
              <w:rPr>
                <w:b/>
                <w:lang w:val="pl-PL"/>
              </w:rPr>
              <w:t xml:space="preserve"> </w:t>
            </w:r>
            <w:proofErr w:type="spellStart"/>
            <w:r w:rsidRPr="008F0BB3">
              <w:rPr>
                <w:b/>
                <w:lang w:val="pl-PL"/>
              </w:rPr>
              <w:t>results</w:t>
            </w:r>
            <w:proofErr w:type="spellEnd"/>
            <w:r w:rsidRPr="008F0BB3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113AE5" w:rsidRDefault="00BF6217">
            <w:pPr>
              <w:spacing w:before="120" w:after="120"/>
              <w:rPr>
                <w:bCs/>
                <w:lang w:val="en-GB"/>
              </w:rPr>
            </w:pPr>
            <w:r w:rsidRPr="00113AE5">
              <w:rPr>
                <w:rStyle w:val="hgkelc"/>
                <w:bCs/>
                <w:lang w:val="en-GB"/>
              </w:rPr>
              <w:t xml:space="preserve">A student </w:t>
            </w:r>
            <w:r w:rsidR="00113AE5" w:rsidRPr="00113AE5">
              <w:rPr>
                <w:rStyle w:val="hgkelc"/>
                <w:bCs/>
                <w:lang w:val="en-GB"/>
              </w:rPr>
              <w:t>improves a skill of reading and analysing texts of graphs</w:t>
            </w:r>
            <w:r w:rsidR="00113AE5">
              <w:rPr>
                <w:rStyle w:val="hgkelc"/>
                <w:bCs/>
                <w:lang w:val="en-GB"/>
              </w:rPr>
              <w:t xml:space="preserve"> and their usage and reflective </w:t>
            </w:r>
            <w:r w:rsidR="00113AE5">
              <w:rPr>
                <w:rStyle w:val="hgkelc"/>
                <w:bCs/>
                <w:lang w:val="en-GB"/>
              </w:rPr>
              <w:lastRenderedPageBreak/>
              <w:t>processing.</w:t>
            </w:r>
          </w:p>
        </w:tc>
      </w:tr>
      <w:tr w:rsidR="00802FDE" w:rsidRPr="004D1C7B" w:rsidTr="00473A23">
        <w:tc>
          <w:tcPr>
            <w:tcW w:w="4200" w:type="dxa"/>
            <w:gridSpan w:val="2"/>
            <w:shd w:val="clear" w:color="auto" w:fill="FFE599"/>
          </w:tcPr>
          <w:p w:rsidR="00802FDE" w:rsidRDefault="00802FDE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Expected difficulties: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4D1C7B" w:rsidRDefault="004D1C7B">
            <w:pPr>
              <w:spacing w:before="120" w:after="120"/>
              <w:rPr>
                <w:lang w:val="en-GB"/>
              </w:rPr>
            </w:pPr>
            <w:r w:rsidRPr="004D1C7B">
              <w:rPr>
                <w:lang w:val="en-GB"/>
              </w:rPr>
              <w:t xml:space="preserve">A student doesn’t have a skill of reading graphs. </w:t>
            </w:r>
          </w:p>
        </w:tc>
      </w:tr>
      <w:tr w:rsidR="00802FDE" w:rsidRPr="00B5050B" w:rsidTr="00473A23">
        <w:tc>
          <w:tcPr>
            <w:tcW w:w="4200" w:type="dxa"/>
            <w:gridSpan w:val="2"/>
            <w:shd w:val="clear" w:color="auto" w:fill="FFE599"/>
          </w:tcPr>
          <w:p w:rsidR="00802FDE" w:rsidRPr="004D1C7B" w:rsidRDefault="00802FDE">
            <w:pPr>
              <w:spacing w:before="120" w:after="120"/>
              <w:rPr>
                <w:b/>
                <w:lang w:val="pl-PL"/>
              </w:rPr>
            </w:pPr>
            <w:proofErr w:type="spellStart"/>
            <w:r w:rsidRPr="004D1C7B">
              <w:rPr>
                <w:b/>
                <w:lang w:val="pl-PL"/>
              </w:rPr>
              <w:t>Follow</w:t>
            </w:r>
            <w:proofErr w:type="spellEnd"/>
            <w:r w:rsidRPr="004D1C7B">
              <w:rPr>
                <w:b/>
                <w:lang w:val="pl-PL"/>
              </w:rPr>
              <w:t xml:space="preserve"> </w:t>
            </w:r>
            <w:proofErr w:type="spellStart"/>
            <w:r w:rsidRPr="004D1C7B">
              <w:rPr>
                <w:b/>
                <w:lang w:val="pl-PL"/>
              </w:rPr>
              <w:t>up</w:t>
            </w:r>
            <w:proofErr w:type="spellEnd"/>
            <w:r w:rsidRPr="004D1C7B">
              <w:rPr>
                <w:b/>
                <w:lang w:val="pl-PL"/>
              </w:rPr>
              <w:t xml:space="preserve"> </w:t>
            </w:r>
            <w:proofErr w:type="spellStart"/>
            <w:r w:rsidRPr="004D1C7B">
              <w:rPr>
                <w:b/>
                <w:lang w:val="pl-PL"/>
              </w:rPr>
              <w:t>if</w:t>
            </w:r>
            <w:proofErr w:type="spellEnd"/>
            <w:r w:rsidRPr="004D1C7B">
              <w:rPr>
                <w:b/>
                <w:lang w:val="pl-PL"/>
              </w:rPr>
              <w:t xml:space="preserve"> </w:t>
            </w:r>
            <w:proofErr w:type="spellStart"/>
            <w:r w:rsidRPr="004D1C7B">
              <w:rPr>
                <w:b/>
                <w:lang w:val="pl-PL"/>
              </w:rPr>
              <w:t>any</w:t>
            </w:r>
            <w:proofErr w:type="spellEnd"/>
            <w:r w:rsidRPr="004D1C7B">
              <w:rPr>
                <w:b/>
                <w:lang w:val="pl-PL"/>
              </w:rPr>
              <w:t>:</w:t>
            </w:r>
          </w:p>
        </w:tc>
        <w:tc>
          <w:tcPr>
            <w:tcW w:w="9827" w:type="dxa"/>
            <w:gridSpan w:val="2"/>
            <w:shd w:val="clear" w:color="auto" w:fill="auto"/>
          </w:tcPr>
          <w:p w:rsidR="00802FDE" w:rsidRPr="00B5050B" w:rsidRDefault="004D1C7B">
            <w:pPr>
              <w:spacing w:before="120" w:after="120"/>
              <w:jc w:val="both"/>
              <w:rPr>
                <w:bCs/>
                <w:lang w:val="en-GB"/>
              </w:rPr>
            </w:pPr>
            <w:r w:rsidRPr="00E25799">
              <w:rPr>
                <w:rStyle w:val="hgkelc"/>
                <w:bCs/>
                <w:lang w:val="en-GB"/>
              </w:rPr>
              <w:t>Students</w:t>
            </w:r>
            <w:r w:rsidR="00E25799" w:rsidRPr="00E25799">
              <w:rPr>
                <w:rStyle w:val="hgkelc"/>
                <w:bCs/>
                <w:lang w:val="en-GB"/>
              </w:rPr>
              <w:t xml:space="preserve"> in groups of 3 prepare a presentation</w:t>
            </w:r>
            <w:r w:rsidR="00E25799">
              <w:rPr>
                <w:rStyle w:val="hgkelc"/>
                <w:bCs/>
                <w:lang w:val="en-GB"/>
              </w:rPr>
              <w:t xml:space="preserve">, in which </w:t>
            </w:r>
            <w:r w:rsidR="007703DB">
              <w:rPr>
                <w:rStyle w:val="hgkelc"/>
                <w:bCs/>
                <w:lang w:val="en-GB"/>
              </w:rPr>
              <w:t>they will show examples of graphs which are means of important</w:t>
            </w:r>
            <w:r w:rsidR="00D4455F">
              <w:rPr>
                <w:rStyle w:val="hgkelc"/>
                <w:bCs/>
                <w:lang w:val="en-GB"/>
              </w:rPr>
              <w:t xml:space="preserve"> information, for example financial, stock exchange, </w:t>
            </w:r>
            <w:r w:rsidR="00A41109">
              <w:rPr>
                <w:rStyle w:val="hgkelc"/>
                <w:bCs/>
                <w:lang w:val="en-GB"/>
              </w:rPr>
              <w:t>statistical, medical together with examples of occupations</w:t>
            </w:r>
            <w:r w:rsidR="00C8200C">
              <w:rPr>
                <w:rStyle w:val="hgkelc"/>
                <w:bCs/>
                <w:lang w:val="en-GB"/>
              </w:rPr>
              <w:t xml:space="preserve">, in which </w:t>
            </w:r>
            <w:r w:rsidR="007B4670">
              <w:rPr>
                <w:rStyle w:val="hgkelc"/>
                <w:bCs/>
                <w:lang w:val="en-GB"/>
              </w:rPr>
              <w:t>this type of</w:t>
            </w:r>
            <w:r w:rsidR="00C8200C">
              <w:rPr>
                <w:rStyle w:val="hgkelc"/>
                <w:bCs/>
                <w:lang w:val="en-GB"/>
              </w:rPr>
              <w:t xml:space="preserve"> information </w:t>
            </w:r>
            <w:r w:rsidR="007B4670">
              <w:rPr>
                <w:rStyle w:val="hgkelc"/>
                <w:bCs/>
                <w:lang w:val="en-GB"/>
              </w:rPr>
              <w:t>is</w:t>
            </w:r>
            <w:r w:rsidR="00C8200C">
              <w:rPr>
                <w:rStyle w:val="hgkelc"/>
                <w:bCs/>
                <w:lang w:val="en-GB"/>
              </w:rPr>
              <w:t xml:space="preserve"> relevant. </w:t>
            </w:r>
          </w:p>
        </w:tc>
      </w:tr>
      <w:tr w:rsidR="00EC2625" w:rsidTr="00473A23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E51303">
            <w:pPr>
              <w:spacing w:before="240" w:after="240"/>
              <w:jc w:val="center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STRATEGY OF ACTIONS, </w:t>
            </w:r>
            <w:r w:rsidR="004C1942">
              <w:rPr>
                <w:b/>
                <w:smallCaps/>
              </w:rPr>
              <w:t>PROCEDU</w:t>
            </w:r>
            <w:r>
              <w:rPr>
                <w:b/>
                <w:smallCaps/>
              </w:rPr>
              <w:t>RE</w:t>
            </w:r>
          </w:p>
        </w:tc>
        <w:tc>
          <w:tcPr>
            <w:tcW w:w="5222" w:type="dxa"/>
            <w:shd w:val="clear" w:color="auto" w:fill="FFE599"/>
            <w:tcMar>
              <w:left w:w="70" w:type="dxa"/>
              <w:right w:w="70" w:type="dxa"/>
            </w:tcMar>
          </w:tcPr>
          <w:p w:rsidR="00EC2625" w:rsidRDefault="004C1942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METHOD</w:t>
            </w:r>
            <w:r w:rsidR="00E51303">
              <w:rPr>
                <w:b/>
              </w:rPr>
              <w:t>, TOOLS</w:t>
            </w:r>
          </w:p>
        </w:tc>
      </w:tr>
      <w:tr w:rsidR="00802FDE" w:rsidRPr="00044083" w:rsidTr="00473A23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1’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:rsidR="00802FDE" w:rsidRPr="00AF7E2A" w:rsidRDefault="00044083" w:rsidP="00044083">
            <w:pPr>
              <w:spacing w:before="120" w:after="120"/>
              <w:rPr>
                <w:color w:val="000000"/>
                <w:lang w:val="en-GB" w:eastAsia="hu-HU"/>
              </w:rPr>
            </w:pPr>
            <w:r w:rsidRPr="00AF7E2A">
              <w:rPr>
                <w:lang w:val="en-GB"/>
              </w:rPr>
              <w:t>Logging in on the platform.</w:t>
            </w:r>
          </w:p>
        </w:tc>
        <w:tc>
          <w:tcPr>
            <w:tcW w:w="5222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C8152A" w:rsidRDefault="00B91E66" w:rsidP="00B91E66">
            <w:pPr>
              <w:spacing w:before="120" w:after="120"/>
              <w:rPr>
                <w:lang w:val="pl-PL"/>
              </w:rPr>
            </w:pPr>
            <w:r>
              <w:rPr>
                <w:lang w:val="pl-PL"/>
              </w:rPr>
              <w:t xml:space="preserve">Mobile </w:t>
            </w:r>
            <w:proofErr w:type="spellStart"/>
            <w:r>
              <w:rPr>
                <w:lang w:val="pl-PL"/>
              </w:rPr>
              <w:t>phone</w:t>
            </w:r>
            <w:proofErr w:type="spellEnd"/>
            <w:r w:rsidR="00802FDE">
              <w:rPr>
                <w:lang w:val="pl-PL"/>
              </w:rPr>
              <w:t xml:space="preserve">, </w:t>
            </w:r>
            <w:proofErr w:type="spellStart"/>
            <w:r>
              <w:rPr>
                <w:lang w:val="pl-PL"/>
              </w:rPr>
              <w:t>computer</w:t>
            </w:r>
            <w:proofErr w:type="spellEnd"/>
          </w:p>
        </w:tc>
      </w:tr>
      <w:tr w:rsidR="00802FDE" w:rsidRPr="00044083" w:rsidTr="00473A2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Pr="00AF7E2A" w:rsidRDefault="00AF7E2A" w:rsidP="00AF7E2A">
            <w:pPr>
              <w:spacing w:before="120" w:after="120"/>
              <w:rPr>
                <w:lang w:val="en-GB"/>
              </w:rPr>
            </w:pPr>
            <w:r w:rsidRPr="00AF7E2A">
              <w:rPr>
                <w:lang w:val="en-GB"/>
              </w:rPr>
              <w:t>Solving a task with a gap.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B91E66" w:rsidP="00C8152A">
            <w:pPr>
              <w:spacing w:before="120" w:after="120"/>
              <w:rPr>
                <w:color w:val="000000"/>
                <w:lang w:val="pl-PL" w:eastAsia="hu-HU"/>
              </w:rPr>
            </w:pPr>
            <w:r>
              <w:rPr>
                <w:lang w:val="pl-PL"/>
              </w:rPr>
              <w:t>Platform</w:t>
            </w:r>
          </w:p>
        </w:tc>
      </w:tr>
      <w:tr w:rsidR="00802FDE" w:rsidTr="00473A23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9A657A" w:rsidP="00C8152A">
            <w:pPr>
              <w:spacing w:before="120" w:after="120"/>
              <w:jc w:val="center"/>
              <w:rPr>
                <w:b/>
                <w:smallCaps/>
                <w:color w:val="000000"/>
                <w:lang w:val="pl-PL" w:eastAsia="hu-HU"/>
              </w:rPr>
            </w:pPr>
            <w:r>
              <w:rPr>
                <w:b/>
                <w:smallCaps/>
                <w:lang w:val="pl-PL"/>
              </w:rPr>
              <w:t>4’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Pr="00AF7E2A" w:rsidRDefault="00AF7E2A" w:rsidP="00003D9D">
            <w:pPr>
              <w:spacing w:before="120" w:after="120"/>
              <w:jc w:val="both"/>
              <w:rPr>
                <w:lang w:val="en-GB"/>
              </w:rPr>
            </w:pPr>
            <w:r w:rsidRPr="00AF7E2A">
              <w:rPr>
                <w:lang w:val="en-GB"/>
              </w:rPr>
              <w:t xml:space="preserve">Becoming familiar with results and discussing </w:t>
            </w:r>
            <w:proofErr w:type="spellStart"/>
            <w:r w:rsidRPr="00AF7E2A">
              <w:rPr>
                <w:lang w:val="en-GB"/>
              </w:rPr>
              <w:t>groupwork</w:t>
            </w:r>
            <w:proofErr w:type="spellEnd"/>
            <w:r w:rsidRPr="00AF7E2A">
              <w:rPr>
                <w:lang w:val="en-GB"/>
              </w:rPr>
              <w:t xml:space="preserve">, which students </w:t>
            </w:r>
            <w:r w:rsidR="00003D9D">
              <w:rPr>
                <w:lang w:val="en-GB"/>
              </w:rPr>
              <w:t>perform</w:t>
            </w:r>
            <w:r w:rsidRPr="00AF7E2A">
              <w:rPr>
                <w:lang w:val="en-GB"/>
              </w:rPr>
              <w:t xml:space="preserve"> during one week. 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802FDE" w:rsidRDefault="00B91E66" w:rsidP="00C8152A">
            <w:pPr>
              <w:spacing w:before="120" w:after="120"/>
              <w:rPr>
                <w:color w:val="000000"/>
                <w:lang w:val="pl-PL" w:eastAsia="hu-HU"/>
              </w:rPr>
            </w:pPr>
            <w:r>
              <w:rPr>
                <w:lang w:val="pl-PL"/>
              </w:rPr>
              <w:t xml:space="preserve">Multimedia </w:t>
            </w:r>
            <w:proofErr w:type="spellStart"/>
            <w:r>
              <w:rPr>
                <w:lang w:val="pl-PL"/>
              </w:rPr>
              <w:t>board</w:t>
            </w:r>
            <w:proofErr w:type="spellEnd"/>
          </w:p>
        </w:tc>
      </w:tr>
      <w:tr w:rsidR="00802FDE" w:rsidTr="00C8152A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Default="009A657A" w:rsidP="00C8152A">
            <w:pPr>
              <w:spacing w:before="120" w:after="120"/>
              <w:jc w:val="center"/>
              <w:rPr>
                <w:b/>
                <w:color w:val="000000"/>
                <w:lang w:val="pl-PL" w:eastAsia="hu-HU"/>
              </w:rPr>
            </w:pPr>
            <w:r>
              <w:rPr>
                <w:b/>
                <w:lang w:val="pl-PL"/>
              </w:rPr>
              <w:t>5-10’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DD0ACC" w:rsidRDefault="00003D9D" w:rsidP="00C8152A">
            <w:pPr>
              <w:spacing w:before="120" w:after="120"/>
              <w:rPr>
                <w:lang w:val="en-GB"/>
              </w:rPr>
            </w:pPr>
            <w:r w:rsidRPr="00DD0ACC">
              <w:rPr>
                <w:lang w:val="en-GB"/>
              </w:rPr>
              <w:t xml:space="preserve">Presentation of </w:t>
            </w:r>
            <w:r w:rsidR="00DD0ACC" w:rsidRPr="00DD0ACC">
              <w:rPr>
                <w:lang w:val="en-GB"/>
              </w:rPr>
              <w:t>work results in front of the class.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:rsidR="00802FDE" w:rsidRPr="00C8152A" w:rsidRDefault="00B91E66" w:rsidP="00C8152A">
            <w:pPr>
              <w:spacing w:before="120" w:after="120"/>
              <w:rPr>
                <w:color w:val="000000"/>
                <w:szCs w:val="20"/>
                <w:lang w:val="pl-PL" w:eastAsia="hu-HU"/>
              </w:rPr>
            </w:pPr>
            <w:r>
              <w:rPr>
                <w:lang w:val="pl-PL"/>
              </w:rPr>
              <w:t xml:space="preserve">Multimedia </w:t>
            </w:r>
            <w:proofErr w:type="spellStart"/>
            <w:r>
              <w:rPr>
                <w:lang w:val="pl-PL"/>
              </w:rPr>
              <w:t>board</w:t>
            </w:r>
            <w:proofErr w:type="spellEnd"/>
          </w:p>
        </w:tc>
      </w:tr>
    </w:tbl>
    <w:p w:rsidR="00EC2625" w:rsidRDefault="00EC2625"/>
    <w:p w:rsidR="00EC2625" w:rsidRDefault="00EC2625"/>
    <w:sectPr w:rsidR="00EC26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8CB" w:rsidRDefault="002C38CB">
      <w:r>
        <w:separator/>
      </w:r>
    </w:p>
  </w:endnote>
  <w:endnote w:type="continuationSeparator" w:id="0">
    <w:p w:rsidR="002C38CB" w:rsidRDefault="002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64" w:rsidRDefault="0031556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64" w:rsidRDefault="00315564">
    <w:pPr>
      <w:pStyle w:val="Stopka"/>
    </w:pPr>
    <w:bookmarkStart w:id="0" w:name="_GoBack"/>
    <w:r>
      <w:rPr>
        <w:noProof/>
        <w:lang w:val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91F32CA" wp14:editId="5CEC21CF">
              <wp:simplePos x="0" y="0"/>
              <wp:positionH relativeFrom="column">
                <wp:posOffset>-247650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5564" w:rsidRPr="00665D1C" w:rsidRDefault="00315564" w:rsidP="00315564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5564" w:rsidRPr="005B584A" w:rsidRDefault="00315564" w:rsidP="00315564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:rsidR="00315564" w:rsidRDefault="00315564" w:rsidP="00315564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19.5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tfkeviAAAACwEAAA8AAABkcnMvZG93bnJl&#10;di54bWxMj0FLw0AQhe+C/2EZwVu7SavBxGxKKeqpCLaCeJtmp0lodjZkt0n6792e7G1m3uPN9/LV&#10;ZFoxUO8aywrieQSCuLS64UrB9/599gLCeWSNrWVScCEHq+L+LsdM25G/aNj5SoQQdhkqqL3vMild&#10;WZNBN7cdcdCOtjfow9pXUvc4hnDTykUUJdJgw+FDjR1taipPu7NR8DHiuF7Gb8P2dNxcfvfPnz/b&#10;mJR6fJjWryA8Tf7fDFf8gA5FYDrYM2snWgWzZRq6+DAsohjE1fGUJOF0UJCkKcgil7cdij8A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tfkev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:rsidR="00315564" w:rsidRPr="00665D1C" w:rsidRDefault="00315564" w:rsidP="00315564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:rsidR="00315564" w:rsidRPr="005B584A" w:rsidRDefault="00315564" w:rsidP="00315564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:rsidR="00315564" w:rsidRDefault="00315564" w:rsidP="00315564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64" w:rsidRDefault="003155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8CB" w:rsidRDefault="002C38CB">
      <w:r>
        <w:separator/>
      </w:r>
    </w:p>
  </w:footnote>
  <w:footnote w:type="continuationSeparator" w:id="0">
    <w:p w:rsidR="002C38CB" w:rsidRDefault="002C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64" w:rsidRDefault="0031556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625" w:rsidRDefault="00EC2625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EC2625">
      <w:tc>
        <w:tcPr>
          <w:tcW w:w="468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pl-PL"/>
            </w:rPr>
            <w:drawing>
              <wp:inline distT="0" distB="0" distL="0" distR="0">
                <wp:extent cx="769620" cy="76962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:rsidR="00EC2625" w:rsidRDefault="004C194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color w:val="000000"/>
              <w:sz w:val="40"/>
              <w:szCs w:val="40"/>
            </w:rPr>
          </w:pPr>
          <w:r>
            <w:rPr>
              <w:color w:val="000000"/>
              <w:sz w:val="40"/>
              <w:szCs w:val="40"/>
            </w:rPr>
            <w:t>PRACTICAL APPROACH</w:t>
          </w:r>
        </w:p>
      </w:tc>
    </w:tr>
  </w:tbl>
  <w:p w:rsidR="00EC2625" w:rsidRDefault="00EC26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564" w:rsidRDefault="003155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2284B"/>
    <w:multiLevelType w:val="multilevel"/>
    <w:tmpl w:val="1C3A4438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B8B5E40"/>
    <w:multiLevelType w:val="multilevel"/>
    <w:tmpl w:val="23A0283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22614EA"/>
    <w:multiLevelType w:val="multilevel"/>
    <w:tmpl w:val="1E96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57617"/>
    <w:multiLevelType w:val="multilevel"/>
    <w:tmpl w:val="50ECDE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5BE40C6F"/>
    <w:multiLevelType w:val="multilevel"/>
    <w:tmpl w:val="863405B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2625"/>
    <w:rsid w:val="00003D9D"/>
    <w:rsid w:val="00044083"/>
    <w:rsid w:val="000A571B"/>
    <w:rsid w:val="000F3E8B"/>
    <w:rsid w:val="00113AE5"/>
    <w:rsid w:val="001C0379"/>
    <w:rsid w:val="002109A3"/>
    <w:rsid w:val="002C38CB"/>
    <w:rsid w:val="00315564"/>
    <w:rsid w:val="003D7E60"/>
    <w:rsid w:val="00473A23"/>
    <w:rsid w:val="0049272D"/>
    <w:rsid w:val="00496EAB"/>
    <w:rsid w:val="004C1942"/>
    <w:rsid w:val="004D1C7B"/>
    <w:rsid w:val="004D46DB"/>
    <w:rsid w:val="00533AFD"/>
    <w:rsid w:val="006239C2"/>
    <w:rsid w:val="007371B5"/>
    <w:rsid w:val="007703DB"/>
    <w:rsid w:val="0079370E"/>
    <w:rsid w:val="007B4670"/>
    <w:rsid w:val="00802FDE"/>
    <w:rsid w:val="008B6EF0"/>
    <w:rsid w:val="008F0BB3"/>
    <w:rsid w:val="009A657A"/>
    <w:rsid w:val="00A41109"/>
    <w:rsid w:val="00A7014F"/>
    <w:rsid w:val="00AF7E2A"/>
    <w:rsid w:val="00B02D48"/>
    <w:rsid w:val="00B104A3"/>
    <w:rsid w:val="00B13F1D"/>
    <w:rsid w:val="00B5050B"/>
    <w:rsid w:val="00B91E66"/>
    <w:rsid w:val="00BA3868"/>
    <w:rsid w:val="00BF6217"/>
    <w:rsid w:val="00C14453"/>
    <w:rsid w:val="00C750D0"/>
    <w:rsid w:val="00C8152A"/>
    <w:rsid w:val="00C8200C"/>
    <w:rsid w:val="00D4455F"/>
    <w:rsid w:val="00DD0ACC"/>
    <w:rsid w:val="00E25799"/>
    <w:rsid w:val="00E3229C"/>
    <w:rsid w:val="00E36579"/>
    <w:rsid w:val="00E51303"/>
    <w:rsid w:val="00EC2625"/>
    <w:rsid w:val="00F0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FDE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802FDE"/>
  </w:style>
  <w:style w:type="paragraph" w:styleId="Nagwek">
    <w:name w:val="header"/>
    <w:basedOn w:val="Normalny"/>
    <w:link w:val="NagwekZnak"/>
    <w:uiPriority w:val="99"/>
    <w:unhideWhenUsed/>
    <w:rsid w:val="00315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564"/>
  </w:style>
  <w:style w:type="paragraph" w:styleId="Stopka">
    <w:name w:val="footer"/>
    <w:basedOn w:val="Normalny"/>
    <w:link w:val="StopkaZnak"/>
    <w:uiPriority w:val="99"/>
    <w:unhideWhenUsed/>
    <w:rsid w:val="00315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564"/>
  </w:style>
  <w:style w:type="character" w:styleId="Hipercze">
    <w:name w:val="Hyperlink"/>
    <w:basedOn w:val="Domylnaczcionkaakapitu"/>
    <w:uiPriority w:val="99"/>
    <w:unhideWhenUsed/>
    <w:rsid w:val="003155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239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9C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2FDE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character" w:customStyle="1" w:styleId="hgkelc">
    <w:name w:val="hgkelc"/>
    <w:basedOn w:val="Domylnaczcionkaakapitu"/>
    <w:rsid w:val="00802FDE"/>
  </w:style>
  <w:style w:type="paragraph" w:styleId="Nagwek">
    <w:name w:val="header"/>
    <w:basedOn w:val="Normalny"/>
    <w:link w:val="NagwekZnak"/>
    <w:uiPriority w:val="99"/>
    <w:unhideWhenUsed/>
    <w:rsid w:val="003155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5564"/>
  </w:style>
  <w:style w:type="paragraph" w:styleId="Stopka">
    <w:name w:val="footer"/>
    <w:basedOn w:val="Normalny"/>
    <w:link w:val="StopkaZnak"/>
    <w:uiPriority w:val="99"/>
    <w:unhideWhenUsed/>
    <w:rsid w:val="003155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564"/>
  </w:style>
  <w:style w:type="character" w:styleId="Hipercze">
    <w:name w:val="Hyperlink"/>
    <w:basedOn w:val="Domylnaczcionkaakapitu"/>
    <w:uiPriority w:val="99"/>
    <w:unhideWhenUsed/>
    <w:rsid w:val="003155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Gorska-Hamkało</dc:creator>
  <cp:lastModifiedBy>Szkola</cp:lastModifiedBy>
  <cp:revision>40</cp:revision>
  <dcterms:created xsi:type="dcterms:W3CDTF">2023-03-18T13:39:00Z</dcterms:created>
  <dcterms:modified xsi:type="dcterms:W3CDTF">2023-10-05T08:44:00Z</dcterms:modified>
</cp:coreProperties>
</file>