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17" w:rsidRDefault="00F16563">
      <w:pPr>
        <w:shd w:val="clear" w:color="auto" w:fill="FFE599"/>
        <w:jc w:val="center"/>
        <w:rPr>
          <w:b/>
        </w:rPr>
      </w:pPr>
      <w:bookmarkStart w:id="0" w:name="_GoBack"/>
      <w:bookmarkEnd w:id="0"/>
      <w:r>
        <w:rPr>
          <w:b/>
        </w:rPr>
        <w:t>Lesson Plan</w:t>
      </w:r>
    </w:p>
    <w:p w:rsidR="00727917" w:rsidRDefault="00727917">
      <w:pPr>
        <w:jc w:val="center"/>
        <w:rPr>
          <w:b/>
          <w:sz w:val="16"/>
          <w:szCs w:val="16"/>
        </w:rPr>
      </w:pPr>
    </w:p>
    <w:p w:rsidR="00727917" w:rsidRDefault="00F16563">
      <w:pPr>
        <w:jc w:val="center"/>
        <w:rPr>
          <w:b/>
        </w:rPr>
      </w:pPr>
      <w:r>
        <w:rPr>
          <w:b/>
        </w:rPr>
        <w:t xml:space="preserve">Career Development </w:t>
      </w:r>
    </w:p>
    <w:p w:rsidR="00727917" w:rsidRDefault="00727917">
      <w:pPr>
        <w:jc w:val="center"/>
        <w:rPr>
          <w:b/>
          <w:sz w:val="16"/>
          <w:szCs w:val="16"/>
        </w:rPr>
      </w:pPr>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93"/>
        <w:gridCol w:w="4601"/>
        <w:gridCol w:w="5202"/>
        <w:gridCol w:w="328"/>
      </w:tblGrid>
      <w:tr w:rsidR="00727917">
        <w:trPr>
          <w:gridAfter w:val="1"/>
          <w:wAfter w:w="328" w:type="dxa"/>
        </w:trPr>
        <w:tc>
          <w:tcPr>
            <w:tcW w:w="4186" w:type="dxa"/>
            <w:gridSpan w:val="2"/>
            <w:shd w:val="clear" w:color="auto" w:fill="FFE599"/>
          </w:tcPr>
          <w:p w:rsidR="00727917" w:rsidRDefault="00F16563">
            <w:pPr>
              <w:spacing w:before="60" w:after="60"/>
            </w:pPr>
            <w:r>
              <w:rPr>
                <w:b/>
                <w:sz w:val="22"/>
                <w:szCs w:val="22"/>
              </w:rPr>
              <w:t>Level, age of the students</w:t>
            </w:r>
            <w:r>
              <w:rPr>
                <w:sz w:val="22"/>
                <w:szCs w:val="22"/>
              </w:rPr>
              <w:t>:</w:t>
            </w:r>
          </w:p>
        </w:tc>
        <w:tc>
          <w:tcPr>
            <w:tcW w:w="9803" w:type="dxa"/>
            <w:gridSpan w:val="2"/>
            <w:shd w:val="clear" w:color="auto" w:fill="auto"/>
          </w:tcPr>
          <w:p w:rsidR="00727917" w:rsidRDefault="00F16563">
            <w:pPr>
              <w:spacing w:before="60" w:after="60"/>
              <w:rPr>
                <w:sz w:val="22"/>
                <w:szCs w:val="22"/>
              </w:rPr>
            </w:pPr>
            <w:r>
              <w:rPr>
                <w:sz w:val="22"/>
                <w:szCs w:val="22"/>
              </w:rPr>
              <w:t>18-20 (B1 Intermediate level of English)</w:t>
            </w:r>
          </w:p>
        </w:tc>
      </w:tr>
      <w:tr w:rsidR="00727917">
        <w:trPr>
          <w:gridAfter w:val="1"/>
          <w:wAfter w:w="328" w:type="dxa"/>
          <w:trHeight w:val="649"/>
        </w:trPr>
        <w:tc>
          <w:tcPr>
            <w:tcW w:w="4186" w:type="dxa"/>
            <w:gridSpan w:val="2"/>
            <w:shd w:val="clear" w:color="auto" w:fill="FFE599"/>
          </w:tcPr>
          <w:p w:rsidR="00727917" w:rsidRDefault="00F16563">
            <w:pPr>
              <w:spacing w:before="60" w:after="60"/>
              <w:rPr>
                <w:b/>
              </w:rPr>
            </w:pPr>
            <w:r>
              <w:rPr>
                <w:b/>
              </w:rPr>
              <w:t>Subject:</w:t>
            </w:r>
          </w:p>
        </w:tc>
        <w:tc>
          <w:tcPr>
            <w:tcW w:w="9803" w:type="dxa"/>
            <w:gridSpan w:val="2"/>
            <w:shd w:val="clear" w:color="auto" w:fill="auto"/>
          </w:tcPr>
          <w:p w:rsidR="00727917" w:rsidRDefault="00F16563">
            <w:pPr>
              <w:spacing w:before="60" w:after="60"/>
            </w:pPr>
            <w:r>
              <w:t>Career development in English</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Subjects involved:</w:t>
            </w:r>
          </w:p>
        </w:tc>
        <w:tc>
          <w:tcPr>
            <w:tcW w:w="9803" w:type="dxa"/>
            <w:gridSpan w:val="2"/>
            <w:shd w:val="clear" w:color="auto" w:fill="auto"/>
          </w:tcPr>
          <w:p w:rsidR="00727917" w:rsidRDefault="00F16563">
            <w:pPr>
              <w:spacing w:before="60" w:after="60"/>
            </w:pPr>
            <w:r>
              <w:t>English, Trade-related subjects</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Aims:</w:t>
            </w:r>
          </w:p>
        </w:tc>
        <w:tc>
          <w:tcPr>
            <w:tcW w:w="9803" w:type="dxa"/>
            <w:gridSpan w:val="2"/>
            <w:shd w:val="clear" w:color="auto" w:fill="auto"/>
          </w:tcPr>
          <w:p w:rsidR="00727917" w:rsidRDefault="00F16563">
            <w:pPr>
              <w:spacing w:before="60" w:after="60"/>
              <w:jc w:val="both"/>
            </w:pPr>
            <w:r>
              <w:t>To develop SS’s knowledge about applying for a job.</w:t>
            </w:r>
          </w:p>
          <w:p w:rsidR="00727917" w:rsidRDefault="00F16563">
            <w:pPr>
              <w:spacing w:before="60" w:after="60"/>
              <w:jc w:val="both"/>
            </w:pPr>
            <w:r>
              <w:t>To practice good job interview skills.</w:t>
            </w:r>
          </w:p>
          <w:p w:rsidR="00727917" w:rsidRDefault="00F16563">
            <w:pPr>
              <w:spacing w:before="60" w:after="60"/>
              <w:jc w:val="both"/>
            </w:pPr>
            <w:r>
              <w:t xml:space="preserve">To raise SS’s awareness of the importance of the job interview in terms of its carefully chosen sentences. </w:t>
            </w:r>
          </w:p>
          <w:p w:rsidR="00727917" w:rsidRDefault="00F16563">
            <w:pPr>
              <w:spacing w:before="60" w:after="60"/>
              <w:jc w:val="both"/>
            </w:pPr>
            <w:r>
              <w:t xml:space="preserve">To make SS understand what things appropriate and what things are inappropriate to say at a job interview. </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Suggested # of students per group:</w:t>
            </w:r>
          </w:p>
        </w:tc>
        <w:tc>
          <w:tcPr>
            <w:tcW w:w="9803" w:type="dxa"/>
            <w:gridSpan w:val="2"/>
            <w:shd w:val="clear" w:color="auto" w:fill="auto"/>
          </w:tcPr>
          <w:p w:rsidR="00727917" w:rsidRDefault="00F16563">
            <w:pPr>
              <w:spacing w:before="60" w:after="60"/>
            </w:pPr>
            <w:r>
              <w:t>10-12</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Time of the main activity:</w:t>
            </w:r>
          </w:p>
        </w:tc>
        <w:tc>
          <w:tcPr>
            <w:tcW w:w="9803" w:type="dxa"/>
            <w:gridSpan w:val="2"/>
            <w:shd w:val="clear" w:color="auto" w:fill="auto"/>
          </w:tcPr>
          <w:p w:rsidR="00727917" w:rsidRDefault="00F16563">
            <w:pPr>
              <w:spacing w:before="60" w:after="60"/>
            </w:pPr>
            <w:r>
              <w:t>15’</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Material:</w:t>
            </w:r>
          </w:p>
        </w:tc>
        <w:tc>
          <w:tcPr>
            <w:tcW w:w="9803" w:type="dxa"/>
            <w:gridSpan w:val="2"/>
            <w:shd w:val="clear" w:color="auto" w:fill="auto"/>
          </w:tcPr>
          <w:p w:rsidR="00727917" w:rsidRDefault="00F16563">
            <w:pPr>
              <w:spacing w:before="60" w:after="60"/>
            </w:pPr>
            <w:r>
              <w:t>SMART board, laptop, tablets</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Competences:</w:t>
            </w:r>
          </w:p>
        </w:tc>
        <w:tc>
          <w:tcPr>
            <w:tcW w:w="9803" w:type="dxa"/>
            <w:gridSpan w:val="2"/>
            <w:shd w:val="clear" w:color="auto" w:fill="auto"/>
          </w:tcPr>
          <w:p w:rsidR="00727917" w:rsidRDefault="00F16563">
            <w:pPr>
              <w:spacing w:before="60" w:after="60"/>
            </w:pPr>
            <w:r>
              <w:t>Communication in English, digital competences, personal competences, social competences</w:t>
            </w:r>
          </w:p>
        </w:tc>
      </w:tr>
      <w:tr w:rsidR="00727917">
        <w:trPr>
          <w:gridAfter w:val="1"/>
          <w:wAfter w:w="328" w:type="dxa"/>
        </w:trPr>
        <w:tc>
          <w:tcPr>
            <w:tcW w:w="4186" w:type="dxa"/>
            <w:gridSpan w:val="2"/>
            <w:shd w:val="clear" w:color="auto" w:fill="FFE599"/>
          </w:tcPr>
          <w:p w:rsidR="00727917" w:rsidRDefault="00F16563">
            <w:pPr>
              <w:spacing w:before="60" w:after="60"/>
              <w:rPr>
                <w:b/>
              </w:rPr>
            </w:pPr>
            <w:r>
              <w:rPr>
                <w:b/>
              </w:rPr>
              <w:t>Preparatory actions if any:</w:t>
            </w:r>
          </w:p>
        </w:tc>
        <w:tc>
          <w:tcPr>
            <w:tcW w:w="9803" w:type="dxa"/>
            <w:gridSpan w:val="2"/>
            <w:shd w:val="clear" w:color="auto" w:fill="auto"/>
          </w:tcPr>
          <w:p w:rsidR="00727917" w:rsidRDefault="00F16563">
            <w:pPr>
              <w:spacing w:before="60" w:after="60"/>
            </w:pPr>
            <w:r>
              <w:t>In the previous lesson Grammar revision is needed focusing on the word order in questions in English.</w:t>
            </w:r>
          </w:p>
        </w:tc>
      </w:tr>
      <w:tr w:rsidR="00727917">
        <w:trPr>
          <w:gridAfter w:val="1"/>
          <w:wAfter w:w="328" w:type="dxa"/>
        </w:trPr>
        <w:tc>
          <w:tcPr>
            <w:tcW w:w="4186" w:type="dxa"/>
            <w:gridSpan w:val="2"/>
            <w:shd w:val="clear" w:color="auto" w:fill="FFE599"/>
          </w:tcPr>
          <w:p w:rsidR="00727917" w:rsidRDefault="00F16563">
            <w:pPr>
              <w:spacing w:before="120" w:after="120"/>
              <w:rPr>
                <w:b/>
              </w:rPr>
            </w:pPr>
            <w:r>
              <w:rPr>
                <w:b/>
              </w:rPr>
              <w:t>Expected results:</w:t>
            </w:r>
          </w:p>
        </w:tc>
        <w:tc>
          <w:tcPr>
            <w:tcW w:w="9803" w:type="dxa"/>
            <w:gridSpan w:val="2"/>
            <w:shd w:val="clear" w:color="auto" w:fill="auto"/>
          </w:tcPr>
          <w:p w:rsidR="00727917" w:rsidRDefault="00F16563">
            <w:pPr>
              <w:spacing w:before="120" w:after="120"/>
            </w:pPr>
            <w:r>
              <w:t>SS will be able to identify the right/appropriate and the wrong/inappropriate sentences for job interviewing.</w:t>
            </w:r>
          </w:p>
        </w:tc>
      </w:tr>
      <w:tr w:rsidR="00727917">
        <w:trPr>
          <w:gridAfter w:val="1"/>
          <w:wAfter w:w="328" w:type="dxa"/>
        </w:trPr>
        <w:tc>
          <w:tcPr>
            <w:tcW w:w="4186" w:type="dxa"/>
            <w:gridSpan w:val="2"/>
            <w:shd w:val="clear" w:color="auto" w:fill="FFE599"/>
          </w:tcPr>
          <w:p w:rsidR="00727917" w:rsidRDefault="00F16563">
            <w:pPr>
              <w:spacing w:before="120" w:after="120"/>
              <w:rPr>
                <w:b/>
              </w:rPr>
            </w:pPr>
            <w:r>
              <w:rPr>
                <w:b/>
              </w:rPr>
              <w:t>Follow up if any:</w:t>
            </w:r>
          </w:p>
        </w:tc>
        <w:tc>
          <w:tcPr>
            <w:tcW w:w="9803" w:type="dxa"/>
            <w:gridSpan w:val="2"/>
            <w:shd w:val="clear" w:color="auto" w:fill="auto"/>
          </w:tcPr>
          <w:p w:rsidR="00727917" w:rsidRDefault="00F16563">
            <w:pPr>
              <w:spacing w:before="120" w:after="120"/>
            </w:pPr>
            <w:r>
              <w:t>SS will do mock job interviews which allow them to gain experience with interviewing in a safe classroom environment.</w:t>
            </w:r>
          </w:p>
        </w:tc>
      </w:tr>
      <w:tr w:rsidR="00727917">
        <w:tc>
          <w:tcPr>
            <w:tcW w:w="993" w:type="dxa"/>
            <w:shd w:val="clear" w:color="auto" w:fill="FFE599"/>
            <w:tcMar>
              <w:left w:w="70" w:type="dxa"/>
              <w:right w:w="70" w:type="dxa"/>
            </w:tcMar>
          </w:tcPr>
          <w:p w:rsidR="00727917" w:rsidRDefault="00F16563">
            <w:pPr>
              <w:spacing w:before="240" w:after="240"/>
              <w:jc w:val="center"/>
              <w:rPr>
                <w:b/>
                <w:smallCaps/>
              </w:rPr>
            </w:pPr>
            <w:r>
              <w:rPr>
                <w:b/>
                <w:smallCaps/>
              </w:rPr>
              <w:lastRenderedPageBreak/>
              <w:t>Time</w:t>
            </w:r>
          </w:p>
        </w:tc>
        <w:tc>
          <w:tcPr>
            <w:tcW w:w="7794" w:type="dxa"/>
            <w:gridSpan w:val="2"/>
            <w:shd w:val="clear" w:color="auto" w:fill="FFE599"/>
            <w:tcMar>
              <w:left w:w="70" w:type="dxa"/>
              <w:right w:w="70" w:type="dxa"/>
            </w:tcMar>
          </w:tcPr>
          <w:p w:rsidR="00727917" w:rsidRDefault="00F16563">
            <w:pPr>
              <w:spacing w:before="240" w:after="240"/>
              <w:jc w:val="center"/>
              <w:rPr>
                <w:b/>
                <w:smallCaps/>
              </w:rPr>
            </w:pPr>
            <w:r>
              <w:rPr>
                <w:b/>
                <w:smallCaps/>
              </w:rPr>
              <w:t>PROCEDURE (T: teacher; SS: students; O: other)</w:t>
            </w:r>
          </w:p>
        </w:tc>
        <w:tc>
          <w:tcPr>
            <w:tcW w:w="5530" w:type="dxa"/>
            <w:gridSpan w:val="2"/>
            <w:shd w:val="clear" w:color="auto" w:fill="FFE599"/>
            <w:tcMar>
              <w:left w:w="70" w:type="dxa"/>
              <w:right w:w="70" w:type="dxa"/>
            </w:tcMar>
          </w:tcPr>
          <w:p w:rsidR="00727917" w:rsidRDefault="00F16563">
            <w:pPr>
              <w:spacing w:before="240" w:after="240"/>
              <w:jc w:val="center"/>
              <w:rPr>
                <w:b/>
              </w:rPr>
            </w:pPr>
            <w:r>
              <w:rPr>
                <w:b/>
              </w:rPr>
              <w:t>METHOD</w:t>
            </w:r>
          </w:p>
        </w:tc>
      </w:tr>
      <w:tr w:rsidR="00727917">
        <w:tc>
          <w:tcPr>
            <w:tcW w:w="993" w:type="dxa"/>
            <w:shd w:val="clear" w:color="auto" w:fill="auto"/>
            <w:tcMar>
              <w:left w:w="70" w:type="dxa"/>
              <w:right w:w="70" w:type="dxa"/>
            </w:tcMar>
            <w:vAlign w:val="center"/>
          </w:tcPr>
          <w:p w:rsidR="00727917" w:rsidRDefault="00F16563">
            <w:pPr>
              <w:jc w:val="center"/>
              <w:rPr>
                <w:b/>
                <w:smallCaps/>
              </w:rPr>
            </w:pPr>
            <w:r>
              <w:rPr>
                <w:b/>
                <w:smallCaps/>
              </w:rPr>
              <w:t>5’</w:t>
            </w:r>
          </w:p>
        </w:tc>
        <w:tc>
          <w:tcPr>
            <w:tcW w:w="7794" w:type="dxa"/>
            <w:gridSpan w:val="2"/>
            <w:shd w:val="clear" w:color="auto" w:fill="auto"/>
            <w:tcMar>
              <w:left w:w="70" w:type="dxa"/>
              <w:right w:w="70" w:type="dxa"/>
            </w:tcMar>
          </w:tcPr>
          <w:p w:rsidR="00727917" w:rsidRDefault="00F16563">
            <w:pPr>
              <w:spacing w:before="120"/>
              <w:rPr>
                <w:b/>
              </w:rPr>
            </w:pPr>
            <w:r>
              <w:rPr>
                <w:b/>
              </w:rPr>
              <w:t xml:space="preserve">Activity 1 </w:t>
            </w:r>
          </w:p>
          <w:p w:rsidR="00727917" w:rsidRDefault="00F16563">
            <w:pPr>
              <w:spacing w:before="120"/>
              <w:jc w:val="both"/>
            </w:pPr>
            <w:r>
              <w:rPr>
                <w:b/>
              </w:rPr>
              <w:t>Objective:</w:t>
            </w:r>
            <w:r>
              <w:t xml:space="preserve"> To introduce SS to appropriate as well as inappropriate sentences used by the applicant at a job interview. </w:t>
            </w:r>
          </w:p>
          <w:p w:rsidR="00727917" w:rsidRDefault="00727917">
            <w:pPr>
              <w:spacing w:before="120"/>
              <w:rPr>
                <w:u w:val="single"/>
              </w:rPr>
            </w:pPr>
          </w:p>
          <w:p w:rsidR="00727917" w:rsidRDefault="00F16563">
            <w:pPr>
              <w:numPr>
                <w:ilvl w:val="0"/>
                <w:numId w:val="3"/>
              </w:numPr>
              <w:spacing w:before="120"/>
              <w:jc w:val="both"/>
              <w:rPr>
                <w:b/>
                <w:smallCaps/>
              </w:rPr>
            </w:pPr>
            <w:r>
              <w:t xml:space="preserve"> T: In this learning apps game you need to decide which sentences are good and which sentences are inappropriate to be used by the applicant at a job interview. Work in pairs and use the tablets. </w:t>
            </w:r>
          </w:p>
          <w:p w:rsidR="00727917" w:rsidRDefault="00AF1399">
            <w:pPr>
              <w:spacing w:before="120"/>
              <w:ind w:left="779"/>
              <w:jc w:val="both"/>
            </w:pPr>
            <w:hyperlink r:id="rId9">
              <w:r w:rsidR="00F16563">
                <w:rPr>
                  <w:color w:val="0563C1"/>
                  <w:u w:val="single"/>
                </w:rPr>
                <w:t>https://learningapps.org/display?v=p0b65kkf323</w:t>
              </w:r>
            </w:hyperlink>
          </w:p>
          <w:p w:rsidR="00727917" w:rsidRDefault="00F16563">
            <w:pPr>
              <w:numPr>
                <w:ilvl w:val="0"/>
                <w:numId w:val="3"/>
              </w:numPr>
              <w:pBdr>
                <w:top w:val="nil"/>
                <w:left w:val="nil"/>
                <w:bottom w:val="nil"/>
                <w:right w:val="nil"/>
                <w:between w:val="nil"/>
              </w:pBdr>
              <w:spacing w:before="120"/>
              <w:rPr>
                <w:smallCaps/>
                <w:szCs w:val="24"/>
              </w:rPr>
            </w:pPr>
            <w:r>
              <w:rPr>
                <w:szCs w:val="24"/>
              </w:rPr>
              <w:t>SS: SS work in pairs on tablets.</w:t>
            </w:r>
          </w:p>
          <w:p w:rsidR="00727917" w:rsidRDefault="00727917">
            <w:pPr>
              <w:rPr>
                <w:b/>
                <w:smallCaps/>
              </w:rPr>
            </w:pPr>
          </w:p>
        </w:tc>
        <w:tc>
          <w:tcPr>
            <w:tcW w:w="5530" w:type="dxa"/>
            <w:gridSpan w:val="2"/>
            <w:shd w:val="clear" w:color="auto" w:fill="auto"/>
            <w:tcMar>
              <w:left w:w="70" w:type="dxa"/>
              <w:right w:w="70" w:type="dxa"/>
            </w:tcMar>
          </w:tcPr>
          <w:p w:rsidR="00727917" w:rsidRDefault="00727917">
            <w:pPr>
              <w:jc w:val="center"/>
            </w:pPr>
          </w:p>
          <w:p w:rsidR="00727917" w:rsidRDefault="00727917"/>
          <w:p w:rsidR="00727917" w:rsidRDefault="00727917"/>
          <w:p w:rsidR="00727917" w:rsidRDefault="00727917"/>
          <w:p w:rsidR="00727917" w:rsidRDefault="00F16563">
            <w:pPr>
              <w:jc w:val="center"/>
            </w:pPr>
            <w:r>
              <w:t>Pair-work</w:t>
            </w:r>
          </w:p>
        </w:tc>
      </w:tr>
      <w:tr w:rsidR="00727917">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27917" w:rsidRDefault="00F16563">
            <w:pPr>
              <w:spacing w:before="240" w:after="240"/>
              <w:jc w:val="center"/>
              <w:rPr>
                <w:b/>
                <w:smallCaps/>
              </w:rPr>
            </w:pPr>
            <w:r>
              <w:rPr>
                <w:b/>
                <w:smallCaps/>
              </w:rPr>
              <w:t>8’</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27917" w:rsidRDefault="00F16563">
            <w:pPr>
              <w:spacing w:before="120"/>
              <w:rPr>
                <w:b/>
              </w:rPr>
            </w:pPr>
            <w:r>
              <w:rPr>
                <w:b/>
              </w:rPr>
              <w:t>Activity 2</w:t>
            </w:r>
          </w:p>
          <w:p w:rsidR="00727917" w:rsidRDefault="00F16563">
            <w:pPr>
              <w:spacing w:before="120"/>
              <w:jc w:val="both"/>
            </w:pPr>
            <w:r>
              <w:rPr>
                <w:b/>
              </w:rPr>
              <w:t>Objective:</w:t>
            </w:r>
            <w:r>
              <w:t xml:space="preserve"> To make SS aware of why they should avoid certain sentences in job interviews by providing the SS with explanations.</w:t>
            </w:r>
          </w:p>
          <w:p w:rsidR="00727917" w:rsidRDefault="00F16563">
            <w:pPr>
              <w:numPr>
                <w:ilvl w:val="0"/>
                <w:numId w:val="1"/>
              </w:numPr>
              <w:spacing w:before="120"/>
              <w:jc w:val="both"/>
            </w:pPr>
            <w:r>
              <w:t xml:space="preserve">T: Now you will get to know why it is highly advisable to avoid saying certain sentences in job interviews. In this task you need to match the interview sentences to the explanations of their inappropriateness.  </w:t>
            </w:r>
            <w:hyperlink r:id="rId10">
              <w:r>
                <w:rPr>
                  <w:color w:val="0563C1"/>
                  <w:u w:val="single"/>
                </w:rPr>
                <w:t>https://learningapps.org/display?v=p5kxt9agt23</w:t>
              </w:r>
            </w:hyperlink>
          </w:p>
          <w:p w:rsidR="00727917" w:rsidRDefault="00F16563">
            <w:pPr>
              <w:numPr>
                <w:ilvl w:val="0"/>
                <w:numId w:val="1"/>
              </w:numPr>
              <w:spacing w:before="120"/>
            </w:pPr>
            <w:r>
              <w:t>SS: SS work in pairs on tablets.</w:t>
            </w:r>
          </w:p>
          <w:p w:rsidR="00727917" w:rsidRDefault="00F16563">
            <w:pPr>
              <w:numPr>
                <w:ilvl w:val="0"/>
                <w:numId w:val="1"/>
              </w:numPr>
              <w:pBdr>
                <w:top w:val="nil"/>
                <w:left w:val="nil"/>
                <w:bottom w:val="nil"/>
                <w:right w:val="nil"/>
                <w:between w:val="nil"/>
              </w:pBdr>
              <w:spacing w:before="120" w:after="120"/>
              <w:ind w:left="714" w:hanging="357"/>
              <w:jc w:val="both"/>
              <w:rPr>
                <w:szCs w:val="24"/>
              </w:rPr>
            </w:pPr>
            <w:r>
              <w:rPr>
                <w:szCs w:val="24"/>
              </w:rPr>
              <w:t>T: If you might find unknown words, look them up in an online dictionary. Let’s collect the new words in a shared google doc.</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27917" w:rsidRDefault="00727917">
            <w:pPr>
              <w:jc w:val="center"/>
            </w:pPr>
          </w:p>
          <w:p w:rsidR="00727917" w:rsidRDefault="00727917">
            <w:pPr>
              <w:jc w:val="center"/>
            </w:pPr>
          </w:p>
          <w:p w:rsidR="00727917" w:rsidRDefault="00727917">
            <w:pPr>
              <w:jc w:val="center"/>
            </w:pPr>
          </w:p>
          <w:p w:rsidR="00727917" w:rsidRDefault="00F16563">
            <w:pPr>
              <w:spacing w:before="240" w:after="240"/>
              <w:jc w:val="center"/>
            </w:pPr>
            <w:r>
              <w:t>Pair work</w:t>
            </w:r>
          </w:p>
          <w:p w:rsidR="00727917" w:rsidRDefault="00727917">
            <w:pPr>
              <w:spacing w:before="240" w:after="240"/>
              <w:jc w:val="center"/>
              <w:rPr>
                <w:b/>
              </w:rPr>
            </w:pPr>
          </w:p>
        </w:tc>
      </w:tr>
    </w:tbl>
    <w:p w:rsidR="00727917" w:rsidRDefault="00727917"/>
    <w:tbl>
      <w:tblPr>
        <w:tblStyle w:val="a0"/>
        <w:tblW w:w="14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7793"/>
        <w:gridCol w:w="5530"/>
      </w:tblGrid>
      <w:tr w:rsidR="00727917">
        <w:tc>
          <w:tcPr>
            <w:tcW w:w="993" w:type="dxa"/>
            <w:shd w:val="clear" w:color="auto" w:fill="FFE599"/>
          </w:tcPr>
          <w:p w:rsidR="00727917" w:rsidRDefault="00F16563">
            <w:pPr>
              <w:spacing w:before="240" w:after="240"/>
              <w:jc w:val="center"/>
              <w:rPr>
                <w:b/>
                <w:smallCaps/>
              </w:rPr>
            </w:pPr>
            <w:r>
              <w:rPr>
                <w:b/>
                <w:smallCaps/>
              </w:rPr>
              <w:lastRenderedPageBreak/>
              <w:t>Time</w:t>
            </w:r>
          </w:p>
        </w:tc>
        <w:tc>
          <w:tcPr>
            <w:tcW w:w="7794" w:type="dxa"/>
            <w:shd w:val="clear" w:color="auto" w:fill="FFE599"/>
          </w:tcPr>
          <w:p w:rsidR="00727917" w:rsidRDefault="00F16563">
            <w:pPr>
              <w:spacing w:before="240" w:after="240"/>
              <w:jc w:val="center"/>
              <w:rPr>
                <w:b/>
                <w:smallCaps/>
              </w:rPr>
            </w:pPr>
            <w:r>
              <w:rPr>
                <w:b/>
                <w:smallCaps/>
              </w:rPr>
              <w:t>PROCEDURE (T: teacher; SS: students; O: other)</w:t>
            </w:r>
          </w:p>
        </w:tc>
        <w:tc>
          <w:tcPr>
            <w:tcW w:w="5530" w:type="dxa"/>
            <w:shd w:val="clear" w:color="auto" w:fill="FFE599"/>
          </w:tcPr>
          <w:p w:rsidR="00727917" w:rsidRDefault="00F16563">
            <w:pPr>
              <w:spacing w:before="240" w:after="240"/>
              <w:jc w:val="center"/>
              <w:rPr>
                <w:b/>
              </w:rPr>
            </w:pPr>
            <w:r>
              <w:rPr>
                <w:b/>
              </w:rPr>
              <w:t>METHOD</w:t>
            </w:r>
          </w:p>
        </w:tc>
      </w:tr>
      <w:tr w:rsidR="00727917">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27917" w:rsidRDefault="00F16563">
            <w:pPr>
              <w:spacing w:before="240" w:after="240"/>
              <w:jc w:val="center"/>
              <w:rPr>
                <w:b/>
                <w:smallCaps/>
              </w:rPr>
            </w:pPr>
            <w:r>
              <w:rPr>
                <w:b/>
                <w:smallCaps/>
              </w:rPr>
              <w:t>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27917" w:rsidRDefault="00F16563">
            <w:pPr>
              <w:spacing w:after="120"/>
              <w:rPr>
                <w:b/>
              </w:rPr>
            </w:pPr>
            <w:r>
              <w:rPr>
                <w:b/>
              </w:rPr>
              <w:t>Assigning task to SS for the next lesson:</w:t>
            </w:r>
          </w:p>
          <w:p w:rsidR="00727917" w:rsidRDefault="00F16563">
            <w:pPr>
              <w:numPr>
                <w:ilvl w:val="0"/>
                <w:numId w:val="2"/>
              </w:numPr>
              <w:pBdr>
                <w:top w:val="nil"/>
                <w:left w:val="nil"/>
                <w:bottom w:val="nil"/>
                <w:right w:val="nil"/>
                <w:between w:val="nil"/>
              </w:pBdr>
              <w:spacing w:line="360" w:lineRule="auto"/>
              <w:rPr>
                <w:szCs w:val="24"/>
              </w:rPr>
            </w:pPr>
            <w:r>
              <w:rPr>
                <w:szCs w:val="24"/>
              </w:rPr>
              <w:t xml:space="preserve">T: You will have to work on a </w:t>
            </w:r>
            <w:proofErr w:type="spellStart"/>
            <w:r>
              <w:rPr>
                <w:szCs w:val="24"/>
              </w:rPr>
              <w:t>Wordwall</w:t>
            </w:r>
            <w:proofErr w:type="spellEnd"/>
            <w:r>
              <w:rPr>
                <w:szCs w:val="24"/>
              </w:rPr>
              <w:t xml:space="preserve"> game. Spin the Fortune Wheel three times. Write down the three job interview questions and try to answer them in your exercise book. </w:t>
            </w:r>
            <w:hyperlink r:id="rId11">
              <w:r>
                <w:rPr>
                  <w:color w:val="0563C1"/>
                  <w:szCs w:val="24"/>
                  <w:u w:val="single"/>
                </w:rPr>
                <w:t>https://wordwall.net/hu/resource/53896882</w:t>
              </w:r>
            </w:hyperlink>
          </w:p>
          <w:p w:rsidR="00727917" w:rsidRDefault="00F16563">
            <w:pPr>
              <w:numPr>
                <w:ilvl w:val="0"/>
                <w:numId w:val="2"/>
              </w:numPr>
              <w:pBdr>
                <w:top w:val="nil"/>
                <w:left w:val="nil"/>
                <w:bottom w:val="nil"/>
                <w:right w:val="nil"/>
                <w:between w:val="nil"/>
              </w:pBdr>
              <w:spacing w:after="120" w:line="360" w:lineRule="auto"/>
              <w:rPr>
                <w:b/>
                <w:szCs w:val="24"/>
              </w:rPr>
            </w:pPr>
            <w:r>
              <w:rPr>
                <w:szCs w:val="24"/>
              </w:rPr>
              <w:t xml:space="preserve">T: T shows SS the </w:t>
            </w:r>
            <w:proofErr w:type="spellStart"/>
            <w:r>
              <w:rPr>
                <w:szCs w:val="24"/>
              </w:rPr>
              <w:t>Wordwall</w:t>
            </w:r>
            <w:proofErr w:type="spellEnd"/>
            <w:r>
              <w:rPr>
                <w:szCs w:val="24"/>
              </w:rPr>
              <w:t xml:space="preserve"> Fortune Wheel game demonstrating with an example how to do this task.</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27917" w:rsidRDefault="00F16563">
            <w:pPr>
              <w:spacing w:before="240" w:after="240"/>
              <w:jc w:val="center"/>
            </w:pPr>
            <w:r>
              <w:t>Individual work</w:t>
            </w:r>
          </w:p>
        </w:tc>
      </w:tr>
    </w:tbl>
    <w:p w:rsidR="00727917" w:rsidRDefault="00727917"/>
    <w:p w:rsidR="00727917" w:rsidRDefault="00727917"/>
    <w:sectPr w:rsidR="00727917">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99" w:rsidRDefault="00AF1399">
      <w:r>
        <w:separator/>
      </w:r>
    </w:p>
  </w:endnote>
  <w:endnote w:type="continuationSeparator" w:id="0">
    <w:p w:rsidR="00AF1399" w:rsidRDefault="00AF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727917">
    <w:pPr>
      <w:pBdr>
        <w:top w:val="nil"/>
        <w:left w:val="nil"/>
        <w:bottom w:val="nil"/>
        <w:right w:val="nil"/>
        <w:between w:val="nil"/>
      </w:pBdr>
      <w:tabs>
        <w:tab w:val="center" w:pos="4536"/>
        <w:tab w:val="right" w:pos="90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191277">
    <w:pPr>
      <w:pBdr>
        <w:top w:val="nil"/>
        <w:left w:val="nil"/>
        <w:bottom w:val="nil"/>
        <w:right w:val="nil"/>
        <w:between w:val="nil"/>
      </w:pBdr>
      <w:tabs>
        <w:tab w:val="center" w:pos="4536"/>
        <w:tab w:val="right" w:pos="9072"/>
      </w:tabs>
      <w:rPr>
        <w:szCs w:val="24"/>
      </w:rPr>
    </w:pPr>
    <w:r>
      <w:rPr>
        <w:noProof/>
        <w:lang w:val="pl-PL" w:eastAsia="pl-PL"/>
      </w:rPr>
      <mc:AlternateContent>
        <mc:Choice Requires="wpg">
          <w:drawing>
            <wp:anchor distT="0" distB="0" distL="114300" distR="114300" simplePos="0" relativeHeight="251659264" behindDoc="0" locked="0" layoutInCell="1" allowOverlap="1" wp14:anchorId="35747451" wp14:editId="4F9F149A">
              <wp:simplePos x="0" y="0"/>
              <wp:positionH relativeFrom="column">
                <wp:posOffset>-278130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191277" w:rsidRPr="00665D1C" w:rsidRDefault="00191277" w:rsidP="0019127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191277" w:rsidRPr="005B584A" w:rsidRDefault="00191277" w:rsidP="0019127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191277" w:rsidRDefault="00191277" w:rsidP="0019127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1.9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XUTUHiAAAACwEAAA8AAABkcnMvZG93bnJl&#10;di54bWxMj0FrwkAQhe+F/odlCr3pZtVam2YjIm1PIlQL4m1MxiSYnQ3ZNYn/vuupvc1jHu99L1kO&#10;phYdta6yrEGNIxDEmc0rLjT87D9HCxDOI+dYWyYNN3KwTB8fEoxz2/M3dTtfiBDCLkYNpfdNLKXL&#10;SjLoxrYhDr+zbQ36INtC5i32IdzUchJFc2mw4tBQYkPrkrLL7mo0fPXYr6bqo9tczuvbcf+yPWwU&#10;af38NKzeQXga/J8Z7vgBHdLAdLJXzp2oNYxm04Duw6GUAnF3zOZqAuKk4XXxBjJN5P8N6S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OXUTUH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191277" w:rsidRPr="00665D1C" w:rsidRDefault="00191277" w:rsidP="0019127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191277" w:rsidRPr="005B584A" w:rsidRDefault="00191277" w:rsidP="0019127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191277" w:rsidRDefault="00191277" w:rsidP="0019127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727917">
    <w:pPr>
      <w:pBdr>
        <w:top w:val="nil"/>
        <w:left w:val="nil"/>
        <w:bottom w:val="nil"/>
        <w:right w:val="nil"/>
        <w:between w:val="nil"/>
      </w:pBdr>
      <w:tabs>
        <w:tab w:val="center" w:pos="4536"/>
        <w:tab w:val="right" w:pos="90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99" w:rsidRDefault="00AF1399">
      <w:r>
        <w:separator/>
      </w:r>
    </w:p>
  </w:footnote>
  <w:footnote w:type="continuationSeparator" w:id="0">
    <w:p w:rsidR="00AF1399" w:rsidRDefault="00AF1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727917">
    <w:pPr>
      <w:pBdr>
        <w:top w:val="nil"/>
        <w:left w:val="nil"/>
        <w:bottom w:val="nil"/>
        <w:right w:val="nil"/>
        <w:between w:val="nil"/>
      </w:pBdr>
      <w:tabs>
        <w:tab w:val="center" w:pos="4536"/>
        <w:tab w:val="right" w:pos="90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F16563">
    <w:pPr>
      <w:pBdr>
        <w:top w:val="nil"/>
        <w:left w:val="nil"/>
        <w:bottom w:val="nil"/>
        <w:right w:val="nil"/>
        <w:between w:val="nil"/>
      </w:pBdr>
      <w:tabs>
        <w:tab w:val="center" w:pos="4536"/>
        <w:tab w:val="right" w:pos="9072"/>
      </w:tabs>
      <w:rPr>
        <w:szCs w:val="24"/>
      </w:rPr>
    </w:pPr>
    <w:r>
      <w:rPr>
        <w:noProof/>
        <w:szCs w:val="24"/>
        <w:lang w:val="pl-PL" w:eastAsia="pl-PL"/>
      </w:rPr>
      <w:drawing>
        <wp:inline distT="0" distB="0" distL="0" distR="0">
          <wp:extent cx="8891270" cy="9448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91270" cy="94488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17" w:rsidRDefault="00727917">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638"/>
    <w:multiLevelType w:val="multilevel"/>
    <w:tmpl w:val="D504AB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DF0D5E"/>
    <w:multiLevelType w:val="multilevel"/>
    <w:tmpl w:val="15EA06C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185291"/>
    <w:multiLevelType w:val="multilevel"/>
    <w:tmpl w:val="A4AAB3D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17"/>
    <w:rsid w:val="00191277"/>
    <w:rsid w:val="00590489"/>
    <w:rsid w:val="00727917"/>
    <w:rsid w:val="00AF1399"/>
    <w:rsid w:val="00F16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0652E4"/>
    <w:rPr>
      <w:color w:val="0563C1" w:themeColor="hyperlink"/>
      <w:u w:val="single"/>
    </w:rPr>
  </w:style>
  <w:style w:type="character" w:customStyle="1" w:styleId="UnresolvedMention">
    <w:name w:val="Unresolved Mention"/>
    <w:basedOn w:val="Domylnaczcionkaakapitu"/>
    <w:uiPriority w:val="99"/>
    <w:semiHidden/>
    <w:unhideWhenUsed/>
    <w:rsid w:val="000652E4"/>
    <w:rPr>
      <w:color w:val="605E5C"/>
      <w:shd w:val="clear" w:color="auto" w:fill="E1DFDD"/>
    </w:rPr>
  </w:style>
  <w:style w:type="character" w:styleId="UyteHipercze">
    <w:name w:val="FollowedHyperlink"/>
    <w:basedOn w:val="Domylnaczcionkaakapitu"/>
    <w:uiPriority w:val="99"/>
    <w:semiHidden/>
    <w:unhideWhenUsed/>
    <w:rsid w:val="000652E4"/>
    <w:rPr>
      <w:color w:val="954F72" w:themeColor="followedHyperlink"/>
      <w:u w:val="single"/>
    </w:rPr>
  </w:style>
  <w:style w:type="paragraph" w:styleId="Akapitzlist">
    <w:name w:val="List Paragraph"/>
    <w:basedOn w:val="Normalny"/>
    <w:uiPriority w:val="34"/>
    <w:qFormat/>
    <w:rsid w:val="00AD2866"/>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paragraph" w:styleId="Tekstdymka">
    <w:name w:val="Balloon Text"/>
    <w:basedOn w:val="Normalny"/>
    <w:link w:val="TekstdymkaZnak"/>
    <w:uiPriority w:val="99"/>
    <w:semiHidden/>
    <w:unhideWhenUsed/>
    <w:rsid w:val="00191277"/>
    <w:rPr>
      <w:rFonts w:ascii="Tahoma" w:hAnsi="Tahoma" w:cs="Tahoma"/>
      <w:sz w:val="16"/>
      <w:szCs w:val="16"/>
    </w:rPr>
  </w:style>
  <w:style w:type="character" w:customStyle="1" w:styleId="TekstdymkaZnak">
    <w:name w:val="Tekst dymka Znak"/>
    <w:basedOn w:val="Domylnaczcionkaakapitu"/>
    <w:link w:val="Tekstdymka"/>
    <w:uiPriority w:val="99"/>
    <w:semiHidden/>
    <w:rsid w:val="00191277"/>
    <w:rPr>
      <w:rFonts w:ascii="Tahoma"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0652E4"/>
    <w:rPr>
      <w:color w:val="0563C1" w:themeColor="hyperlink"/>
      <w:u w:val="single"/>
    </w:rPr>
  </w:style>
  <w:style w:type="character" w:customStyle="1" w:styleId="UnresolvedMention">
    <w:name w:val="Unresolved Mention"/>
    <w:basedOn w:val="Domylnaczcionkaakapitu"/>
    <w:uiPriority w:val="99"/>
    <w:semiHidden/>
    <w:unhideWhenUsed/>
    <w:rsid w:val="000652E4"/>
    <w:rPr>
      <w:color w:val="605E5C"/>
      <w:shd w:val="clear" w:color="auto" w:fill="E1DFDD"/>
    </w:rPr>
  </w:style>
  <w:style w:type="character" w:styleId="UyteHipercze">
    <w:name w:val="FollowedHyperlink"/>
    <w:basedOn w:val="Domylnaczcionkaakapitu"/>
    <w:uiPriority w:val="99"/>
    <w:semiHidden/>
    <w:unhideWhenUsed/>
    <w:rsid w:val="000652E4"/>
    <w:rPr>
      <w:color w:val="954F72" w:themeColor="followedHyperlink"/>
      <w:u w:val="single"/>
    </w:rPr>
  </w:style>
  <w:style w:type="paragraph" w:styleId="Akapitzlist">
    <w:name w:val="List Paragraph"/>
    <w:basedOn w:val="Normalny"/>
    <w:uiPriority w:val="34"/>
    <w:qFormat/>
    <w:rsid w:val="00AD2866"/>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paragraph" w:styleId="Tekstdymka">
    <w:name w:val="Balloon Text"/>
    <w:basedOn w:val="Normalny"/>
    <w:link w:val="TekstdymkaZnak"/>
    <w:uiPriority w:val="99"/>
    <w:semiHidden/>
    <w:unhideWhenUsed/>
    <w:rsid w:val="00191277"/>
    <w:rPr>
      <w:rFonts w:ascii="Tahoma" w:hAnsi="Tahoma" w:cs="Tahoma"/>
      <w:sz w:val="16"/>
      <w:szCs w:val="16"/>
    </w:rPr>
  </w:style>
  <w:style w:type="character" w:customStyle="1" w:styleId="TekstdymkaZnak">
    <w:name w:val="Tekst dymka Znak"/>
    <w:basedOn w:val="Domylnaczcionkaakapitu"/>
    <w:link w:val="Tekstdymka"/>
    <w:uiPriority w:val="99"/>
    <w:semiHidden/>
    <w:rsid w:val="00191277"/>
    <w:rPr>
      <w:rFonts w:ascii="Tahoma"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dwall.net/hu/resource/5389688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earningapps.org/display?v=p5kxt9agt2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earningapps.org/display?v=p0b65kkf32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5c5sBUzPpq797K4J3XmER9qow==">AMUW2mVp1Y0K8PJc6EJWnoQiaBj0VXqcUX4OEdB4gSBFtRen2DymvZYHI12dpi0QTxzAlsgnw+dSgMqeh2hTNUqUjXBXrgKoUoxnnnGh1BpuNhEDq1BrEzA=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2414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2023-03-28T18:27:00Z</dcterms:created>
  <dcterms:modified xsi:type="dcterms:W3CDTF">2023-10-05T08:04:00Z</dcterms:modified>
</cp:coreProperties>
</file>