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bookmarkStart w:id="0" w:name="_GoBack"/>
      <w:bookmarkEnd w:id="0"/>
      <w:r w:rsidRPr="00C637C7">
        <w:rPr>
          <w:b/>
          <w:lang w:val="en-US"/>
        </w:rPr>
        <w:t>Lesson Plan</w:t>
      </w:r>
    </w:p>
    <w:p w14:paraId="2FEE2786" w14:textId="4B5A0F3F" w:rsidR="00895E77" w:rsidRPr="00BB0A64" w:rsidRDefault="00AC4A89" w:rsidP="00687F3B">
      <w:pPr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Tap Into Your WIFI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529"/>
      </w:tblGrid>
      <w:tr w:rsidR="00895E77" w:rsidRPr="00BB0A64" w14:paraId="31CF5B12" w14:textId="77777777" w:rsidTr="003D28D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77777777" w:rsidR="00895E77" w:rsidRPr="00BB0A64" w:rsidRDefault="00895E77" w:rsidP="00592DCD">
            <w:pPr>
              <w:spacing w:before="40" w:after="40"/>
              <w:rPr>
                <w:szCs w:val="24"/>
                <w:lang w:val="en-US"/>
              </w:rPr>
            </w:pPr>
            <w:r w:rsidRPr="00BB0A64">
              <w:rPr>
                <w:b/>
                <w:sz w:val="22"/>
                <w:lang w:val="en-US"/>
              </w:rPr>
              <w:t>Level, age of the students</w:t>
            </w:r>
            <w:r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67D6AD9D" w14:textId="3B12D2BA" w:rsidR="00895E77" w:rsidRPr="00A05025" w:rsidRDefault="00895E77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14:paraId="1D1F26CE" w14:textId="77777777" w:rsidTr="003D28D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513C9B50" w14:textId="40A02B72" w:rsidR="00895E77" w:rsidRPr="00A05025" w:rsidRDefault="005F45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Any Subject</w:t>
            </w:r>
          </w:p>
        </w:tc>
      </w:tr>
      <w:tr w:rsidR="00895E77" w:rsidRPr="00BB0A64" w14:paraId="765E338B" w14:textId="77777777" w:rsidTr="003D28D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27EAD0EF" w14:textId="731B94B2" w:rsidR="00895E77" w:rsidRPr="00A05025" w:rsidRDefault="005F45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All Subjects</w:t>
            </w:r>
          </w:p>
        </w:tc>
      </w:tr>
      <w:tr w:rsidR="00895E77" w:rsidRPr="00BB0A64" w14:paraId="5CA84D87" w14:textId="77777777" w:rsidTr="003D28DB">
        <w:tc>
          <w:tcPr>
            <w:tcW w:w="3828" w:type="dxa"/>
            <w:gridSpan w:val="2"/>
            <w:shd w:val="clear" w:color="auto" w:fill="FFE599"/>
          </w:tcPr>
          <w:p w14:paraId="16EC49B8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01D4D2D1" w14:textId="22977FE6" w:rsidR="00895E77" w:rsidRPr="00A05025" w:rsidRDefault="00AC4A89" w:rsidP="00FD67C7">
            <w:pPr>
              <w:spacing w:before="40" w:after="40"/>
              <w:rPr>
                <w:szCs w:val="24"/>
                <w:lang w:val="en-US"/>
              </w:rPr>
            </w:pPr>
            <w:r>
              <w:t>To help students identify professional areas they may want to explore, rooted in their interests, dreams, and ambitions</w:t>
            </w:r>
          </w:p>
        </w:tc>
      </w:tr>
      <w:tr w:rsidR="00895E77" w:rsidRPr="00BB0A64" w14:paraId="1A62E3D8" w14:textId="77777777" w:rsidTr="003D28DB">
        <w:tc>
          <w:tcPr>
            <w:tcW w:w="3828" w:type="dxa"/>
            <w:gridSpan w:val="2"/>
            <w:shd w:val="clear" w:color="auto" w:fill="FFE599"/>
          </w:tcPr>
          <w:p w14:paraId="3FB31753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5492AF7B" w14:textId="1AACDDC8" w:rsidR="00895E77" w:rsidRPr="00A05025" w:rsidRDefault="00FD67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895E77" w:rsidRPr="00BB0A64" w14:paraId="3B24FBBA" w14:textId="77777777" w:rsidTr="003D28DB">
        <w:tc>
          <w:tcPr>
            <w:tcW w:w="3828" w:type="dxa"/>
            <w:gridSpan w:val="2"/>
            <w:shd w:val="clear" w:color="auto" w:fill="FFE599"/>
          </w:tcPr>
          <w:p w14:paraId="5ECB86FF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4106C0F3" w14:textId="47C92F35" w:rsidR="00895E77" w:rsidRPr="00A05025" w:rsidRDefault="00BC5259" w:rsidP="000D283E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 w:rsidR="000D283E">
              <w:rPr>
                <w:szCs w:val="24"/>
                <w:lang w:val="en-US"/>
              </w:rPr>
              <w:t>5</w:t>
            </w:r>
            <w:r w:rsidR="00FB1507">
              <w:rPr>
                <w:szCs w:val="24"/>
                <w:lang w:val="en-US"/>
              </w:rPr>
              <w:t xml:space="preserve"> </w:t>
            </w:r>
            <w:r w:rsidR="00895E77" w:rsidRPr="00A05025">
              <w:rPr>
                <w:szCs w:val="24"/>
                <w:lang w:val="en-US"/>
              </w:rPr>
              <w:t>minutes</w:t>
            </w:r>
            <w:r w:rsidR="0078743F" w:rsidRPr="00A05025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4474A97A" w14:textId="77777777" w:rsidTr="003D28DB">
        <w:tc>
          <w:tcPr>
            <w:tcW w:w="3828" w:type="dxa"/>
            <w:gridSpan w:val="2"/>
            <w:shd w:val="clear" w:color="auto" w:fill="FFE599"/>
          </w:tcPr>
          <w:p w14:paraId="14D9D30F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32F458CB" w14:textId="77777777" w:rsidR="00895E77" w:rsidRDefault="00FD67C7" w:rsidP="005F45C7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Whiteboard and markers, </w:t>
            </w:r>
            <w:r w:rsidR="00AC4A89">
              <w:rPr>
                <w:szCs w:val="24"/>
                <w:lang w:val="en-US"/>
              </w:rPr>
              <w:t xml:space="preserve">Internet Connection, </w:t>
            </w:r>
            <w:r w:rsidR="005F45C7">
              <w:rPr>
                <w:szCs w:val="24"/>
                <w:lang w:val="en-US"/>
              </w:rPr>
              <w:t xml:space="preserve">Computer and Beamer, </w:t>
            </w:r>
            <w:r w:rsidRPr="00FD67C7">
              <w:rPr>
                <w:szCs w:val="24"/>
                <w:lang w:val="en-US"/>
              </w:rPr>
              <w:t>Pen and paper for note-taking</w:t>
            </w:r>
          </w:p>
          <w:p w14:paraId="03829AAE" w14:textId="7AD48328" w:rsidR="00AC4A89" w:rsidRPr="00A05025" w:rsidRDefault="00DD3FF4" w:rsidP="005F45C7">
            <w:pPr>
              <w:spacing w:before="40" w:after="40"/>
              <w:rPr>
                <w:szCs w:val="24"/>
                <w:lang w:val="en-US"/>
              </w:rPr>
            </w:pPr>
            <w:hyperlink r:id="rId7" w:history="1">
              <w:r w:rsidR="00AC4A89">
                <w:rPr>
                  <w:rStyle w:val="Hipercze"/>
                  <w:szCs w:val="24"/>
                  <w:lang w:val="en-US"/>
                </w:rPr>
                <w:t xml:space="preserve">Self </w:t>
              </w:r>
              <w:proofErr w:type="spellStart"/>
              <w:r w:rsidR="00AC4A89">
                <w:rPr>
                  <w:rStyle w:val="Hipercze"/>
                  <w:szCs w:val="24"/>
                  <w:lang w:val="en-US"/>
                </w:rPr>
                <w:t>Assesment</w:t>
              </w:r>
              <w:proofErr w:type="spellEnd"/>
              <w:r w:rsidR="00AC4A89">
                <w:rPr>
                  <w:rStyle w:val="Hipercze"/>
                  <w:szCs w:val="24"/>
                  <w:lang w:val="en-US"/>
                </w:rPr>
                <w:t xml:space="preserve"> Hand Out</w:t>
              </w:r>
            </w:hyperlink>
            <w:r w:rsidR="00AC4A89">
              <w:rPr>
                <w:szCs w:val="24"/>
                <w:lang w:val="en-US"/>
              </w:rPr>
              <w:t xml:space="preserve">  </w:t>
            </w:r>
          </w:p>
        </w:tc>
      </w:tr>
      <w:tr w:rsidR="00895E77" w:rsidRPr="00BB0A64" w14:paraId="384ABDE0" w14:textId="77777777" w:rsidTr="003D28DB">
        <w:tc>
          <w:tcPr>
            <w:tcW w:w="3828" w:type="dxa"/>
            <w:gridSpan w:val="2"/>
            <w:shd w:val="clear" w:color="auto" w:fill="FFE599"/>
          </w:tcPr>
          <w:p w14:paraId="4A9683DD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0B4D8743" w14:textId="12A3DA24" w:rsidR="00895E77" w:rsidRPr="00A05025" w:rsidRDefault="00FD67C7" w:rsidP="00AC4A89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Analytical thinking, Co</w:t>
            </w:r>
            <w:r w:rsidR="00AC4A89">
              <w:rPr>
                <w:szCs w:val="24"/>
                <w:lang w:val="en-US"/>
              </w:rPr>
              <w:t>mmunication, Active listening,</w:t>
            </w:r>
            <w:r>
              <w:rPr>
                <w:szCs w:val="24"/>
                <w:lang w:val="en-US"/>
              </w:rPr>
              <w:t xml:space="preserve"> </w:t>
            </w:r>
            <w:r w:rsidRPr="00FD67C7">
              <w:rPr>
                <w:szCs w:val="24"/>
                <w:lang w:val="en-US"/>
              </w:rPr>
              <w:t>Problem-s</w:t>
            </w:r>
            <w:r>
              <w:rPr>
                <w:szCs w:val="24"/>
                <w:lang w:val="en-US"/>
              </w:rPr>
              <w:t xml:space="preserve">olving, </w:t>
            </w:r>
            <w:r w:rsidRPr="00FD67C7">
              <w:rPr>
                <w:szCs w:val="24"/>
                <w:lang w:val="en-US"/>
              </w:rPr>
              <w:t>Time management</w:t>
            </w:r>
          </w:p>
        </w:tc>
      </w:tr>
      <w:tr w:rsidR="00895E77" w:rsidRPr="00BB0A64" w14:paraId="4B43B214" w14:textId="77777777" w:rsidTr="003D28DB">
        <w:tc>
          <w:tcPr>
            <w:tcW w:w="3828" w:type="dxa"/>
            <w:gridSpan w:val="2"/>
            <w:shd w:val="clear" w:color="auto" w:fill="FFE599"/>
          </w:tcPr>
          <w:p w14:paraId="26631E7B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439521EF" w14:textId="58A80775" w:rsidR="00895E77" w:rsidRPr="00A05025" w:rsidRDefault="005F45C7" w:rsidP="00AC4A89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</w:t>
            </w:r>
            <w:r w:rsidR="00AC4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prepares hand outs and give them students during the activity</w:t>
            </w:r>
          </w:p>
        </w:tc>
      </w:tr>
      <w:tr w:rsidR="00895E77" w:rsidRPr="00BB0A64" w14:paraId="1D09DE1C" w14:textId="77777777" w:rsidTr="003D28DB">
        <w:tc>
          <w:tcPr>
            <w:tcW w:w="3828" w:type="dxa"/>
            <w:gridSpan w:val="2"/>
            <w:shd w:val="clear" w:color="auto" w:fill="FFE599"/>
          </w:tcPr>
          <w:p w14:paraId="7F138473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2ACD3227" w14:textId="0AF84F49" w:rsidR="00895E77" w:rsidRPr="00A05025" w:rsidRDefault="005F45C7" w:rsidP="00593AA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understand the </w:t>
            </w:r>
            <w:r w:rsidR="00593AA6">
              <w:rPr>
                <w:rFonts w:ascii="Times New Roman" w:hAnsi="Times New Roman" w:cs="Times New Roman"/>
                <w:sz w:val="24"/>
                <w:szCs w:val="24"/>
              </w:rPr>
              <w:t>fundemental and instrumental reasoning</w:t>
            </w:r>
          </w:p>
        </w:tc>
      </w:tr>
      <w:tr w:rsidR="00895E77" w:rsidRPr="00BB0A64" w14:paraId="653EDD51" w14:textId="77777777" w:rsidTr="003D28DB">
        <w:tc>
          <w:tcPr>
            <w:tcW w:w="3828" w:type="dxa"/>
            <w:gridSpan w:val="2"/>
            <w:shd w:val="clear" w:color="auto" w:fill="FFE599"/>
          </w:tcPr>
          <w:p w14:paraId="1E9A86C8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29315962" w14:textId="6A3FE43F" w:rsidR="00895E77" w:rsidRPr="00592DCD" w:rsidRDefault="005F45C7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Some students may not be interested in the topic</w:t>
            </w:r>
          </w:p>
        </w:tc>
      </w:tr>
      <w:tr w:rsidR="00895E77" w:rsidRPr="00BB0A64" w14:paraId="5FDA28C4" w14:textId="77777777" w:rsidTr="003D28DB">
        <w:tc>
          <w:tcPr>
            <w:tcW w:w="3828" w:type="dxa"/>
            <w:gridSpan w:val="2"/>
            <w:shd w:val="clear" w:color="auto" w:fill="FFE599"/>
          </w:tcPr>
          <w:p w14:paraId="37BD48AA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10489" w:type="dxa"/>
            <w:gridSpan w:val="2"/>
            <w:shd w:val="clear" w:color="auto" w:fill="auto"/>
          </w:tcPr>
          <w:p w14:paraId="7FC9CAE0" w14:textId="7F015B65" w:rsidR="00AC4A89" w:rsidRPr="00AC4A89" w:rsidRDefault="00AC4A89" w:rsidP="00AC4A89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Students can be given </w:t>
            </w:r>
            <w:hyperlink r:id="rId8" w:history="1">
              <w:proofErr w:type="spellStart"/>
              <w:r w:rsidRPr="00AC4A89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Amba</w:t>
              </w:r>
              <w:proofErr w:type="spellEnd"/>
              <w:r w:rsidRPr="00AC4A89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Brown’s Finding Your Path worksheet</w:t>
              </w:r>
            </w:hyperlink>
            <w:r w:rsidRPr="00AC4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which dives deeper into </w:t>
            </w:r>
          </w:p>
          <w:p w14:paraId="7B78F094" w14:textId="1723FFA2" w:rsidR="00AC4A89" w:rsidRPr="00AC4A89" w:rsidRDefault="00AC4A89" w:rsidP="00AC4A89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“investigating students’ </w:t>
            </w:r>
            <w:r w:rsidRPr="00AC4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options”.</w:t>
            </w:r>
          </w:p>
          <w:p w14:paraId="73996C3C" w14:textId="71BE8231" w:rsidR="00895E77" w:rsidRPr="00A05025" w:rsidRDefault="00895E77" w:rsidP="00AC4A89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E77" w14:paraId="7D9E7A07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77777777" w:rsidR="00895E77" w:rsidRPr="00FA72E0" w:rsidRDefault="00895E77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Time</w:t>
            </w:r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3CFD17DA" w:rsidR="00895E77" w:rsidRPr="00FA72E0" w:rsidRDefault="00895E77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</w:t>
            </w:r>
            <w:r w:rsidR="000456E1">
              <w:rPr>
                <w:b/>
                <w:smallCaps/>
                <w:szCs w:val="24"/>
              </w:rPr>
              <w:t xml:space="preserve">; </w:t>
            </w:r>
            <w:r w:rsidR="00CF6CC0">
              <w:rPr>
                <w:b/>
                <w:smallCaps/>
                <w:szCs w:val="24"/>
              </w:rPr>
              <w:t>O: other</w:t>
            </w:r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29" w:type="dxa"/>
            <w:shd w:val="clear" w:color="auto" w:fill="FFE599"/>
          </w:tcPr>
          <w:p w14:paraId="7876B8DA" w14:textId="77777777" w:rsidR="00895E77" w:rsidRPr="00FA72E0" w:rsidRDefault="00895E77" w:rsidP="00CE5CCA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895E77" w14:paraId="0A83AEB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AEDCCF8" w:rsidR="00895E77" w:rsidRPr="002118F5" w:rsidRDefault="000D283E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5C5FA725" w:rsidR="00895E77" w:rsidRDefault="00247FC9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r>
              <w:rPr>
                <w:b/>
                <w:smallCaps/>
              </w:rPr>
              <w:t>P</w:t>
            </w:r>
            <w:r w:rsidR="000D62E0">
              <w:rPr>
                <w:b/>
                <w:smallCaps/>
              </w:rPr>
              <w:t>reparatory action</w:t>
            </w:r>
          </w:p>
          <w:p w14:paraId="7458B148" w14:textId="77777777" w:rsidR="00477250" w:rsidRDefault="00895E77" w:rsidP="005F45C7">
            <w:pPr>
              <w:spacing w:before="60" w:after="120"/>
              <w:rPr>
                <w:color w:val="202124"/>
                <w:szCs w:val="24"/>
                <w:lang w:val="en"/>
              </w:rPr>
            </w:pPr>
            <w:r>
              <w:rPr>
                <w:b/>
                <w:color w:val="auto"/>
              </w:rPr>
              <w:t>Objective</w:t>
            </w:r>
            <w:r w:rsidRPr="00E325E4">
              <w:rPr>
                <w:b/>
                <w:color w:val="auto"/>
              </w:rPr>
              <w:t>:</w:t>
            </w:r>
            <w:r w:rsidRPr="00E325E4">
              <w:t xml:space="preserve"> </w:t>
            </w:r>
            <w:r w:rsidR="003930F5">
              <w:rPr>
                <w:color w:val="202124"/>
                <w:szCs w:val="24"/>
                <w:lang w:val="en"/>
              </w:rPr>
              <w:t>Draw the attention of the students to the topic</w:t>
            </w:r>
          </w:p>
          <w:p w14:paraId="76B1EF30" w14:textId="77F655C1" w:rsidR="00AC4A89" w:rsidRDefault="005F45C7" w:rsidP="00AC4A89">
            <w:pPr>
              <w:spacing w:before="60" w:after="120"/>
            </w:pPr>
            <w:r>
              <w:rPr>
                <w:color w:val="202124"/>
                <w:szCs w:val="24"/>
                <w:lang w:val="en"/>
              </w:rPr>
              <w:t xml:space="preserve">Teacher </w:t>
            </w:r>
            <w:r w:rsidR="00AC4A89">
              <w:rPr>
                <w:color w:val="202124"/>
                <w:szCs w:val="24"/>
                <w:lang w:val="en"/>
              </w:rPr>
              <w:t xml:space="preserve">explains that </w:t>
            </w:r>
            <w:r w:rsidR="00AC4A89">
              <w:t xml:space="preserve">In an ever-changing and increasingly complex world of work, building a career is about continually discovering how you can apply </w:t>
            </w:r>
            <w:r w:rsidR="00AC4A89">
              <w:lastRenderedPageBreak/>
              <w:t>your strengths, passions, and hard work in the world, to do something that matters.</w:t>
            </w:r>
          </w:p>
          <w:p w14:paraId="4044CF7D" w14:textId="280BCAC3" w:rsidR="00AC4A89" w:rsidRDefault="00AC4A89" w:rsidP="00AC4A89">
            <w:pPr>
              <w:spacing w:before="60" w:after="120"/>
            </w:pPr>
            <w:r>
              <w:t xml:space="preserve">Teacher wants students watch a video about following their passion </w:t>
            </w:r>
          </w:p>
          <w:p w14:paraId="676E60E5" w14:textId="3C66E5FB" w:rsidR="00AC4A89" w:rsidRPr="00AC4A89" w:rsidRDefault="00DD3FF4" w:rsidP="00AC4A89">
            <w:pPr>
              <w:spacing w:before="60" w:after="120"/>
              <w:rPr>
                <w:color w:val="202124"/>
                <w:szCs w:val="24"/>
                <w:lang w:val="en"/>
              </w:rPr>
            </w:pPr>
            <w:hyperlink r:id="rId9" w:history="1">
              <w:r w:rsidR="00AC4A89" w:rsidRPr="00AC4A89">
                <w:rPr>
                  <w:rStyle w:val="Hipercze"/>
                </w:rPr>
                <w:t>Video</w:t>
              </w:r>
            </w:hyperlink>
          </w:p>
          <w:p w14:paraId="0021A1AC" w14:textId="42E6CA85" w:rsidR="005F45C7" w:rsidRPr="005F45C7" w:rsidRDefault="005F45C7" w:rsidP="005F45C7">
            <w:pPr>
              <w:spacing w:before="60" w:after="120"/>
              <w:rPr>
                <w:color w:val="202124"/>
                <w:szCs w:val="24"/>
                <w:lang w:val="en"/>
              </w:rPr>
            </w:pPr>
          </w:p>
        </w:tc>
        <w:tc>
          <w:tcPr>
            <w:tcW w:w="5529" w:type="dxa"/>
            <w:shd w:val="clear" w:color="auto" w:fill="auto"/>
          </w:tcPr>
          <w:p w14:paraId="324F220C" w14:textId="77777777" w:rsidR="00584F11" w:rsidRDefault="00584F11" w:rsidP="00584F11">
            <w:pPr>
              <w:jc w:val="center"/>
            </w:pPr>
          </w:p>
          <w:p w14:paraId="3BB0C9AE" w14:textId="5DEA90AB" w:rsidR="00895E77" w:rsidRDefault="00E30B78" w:rsidP="005C0365">
            <w:pPr>
              <w:jc w:val="center"/>
            </w:pPr>
            <w:r>
              <w:t>Individual work</w:t>
            </w:r>
          </w:p>
          <w:p w14:paraId="5291A89F" w14:textId="77777777" w:rsidR="00AC4A89" w:rsidRDefault="00AC4A89" w:rsidP="005C0365">
            <w:pPr>
              <w:jc w:val="center"/>
            </w:pPr>
          </w:p>
          <w:p w14:paraId="38FEBED1" w14:textId="7027D3E0" w:rsidR="00AC4A89" w:rsidRDefault="00AC4A89" w:rsidP="005C0365">
            <w:pPr>
              <w:jc w:val="center"/>
            </w:pPr>
            <w:r>
              <w:t>Watching video and Taking Notes</w:t>
            </w:r>
          </w:p>
          <w:p w14:paraId="43395BCD" w14:textId="1FEA9284" w:rsidR="00895E77" w:rsidRPr="003E0DAF" w:rsidRDefault="00895E77" w:rsidP="00ED3684"/>
        </w:tc>
      </w:tr>
      <w:tr w:rsidR="005A20C3" w:rsidRPr="002F42A1" w14:paraId="677E0A3F" w14:textId="77777777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380C1B8" w:rsidR="005A20C3" w:rsidRPr="00FA72E0" w:rsidRDefault="00823545" w:rsidP="00493D1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</w:t>
            </w:r>
            <w:r w:rsidR="00493D1F">
              <w:rPr>
                <w:b/>
                <w:smallCaps/>
                <w:szCs w:val="24"/>
              </w:rPr>
              <w:t>5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234" w14:textId="3AFD4D69" w:rsidR="005A20C3" w:rsidRPr="00925CAF" w:rsidRDefault="00465656" w:rsidP="00DC4C81">
            <w:pPr>
              <w:numPr>
                <w:ilvl w:val="0"/>
                <w:numId w:val="1"/>
              </w:numPr>
              <w:spacing w:before="60" w:after="60"/>
              <w:rPr>
                <w:b/>
                <w:bCs/>
                <w:smallCaps/>
                <w:szCs w:val="24"/>
              </w:rPr>
            </w:pPr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Tap Into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Wıfı</w:t>
            </w:r>
            <w:proofErr w:type="spellEnd"/>
          </w:p>
          <w:p w14:paraId="308A4C39" w14:textId="77777777" w:rsidR="00465656" w:rsidRDefault="00465656" w:rsidP="00465656">
            <w:r>
              <w:t xml:space="preserve">In this activity, students will complete </w:t>
            </w:r>
            <w:proofErr w:type="spellStart"/>
            <w:r>
              <w:t>Amba</w:t>
            </w:r>
            <w:proofErr w:type="spellEnd"/>
            <w:r>
              <w:t xml:space="preserve"> Brown’s WIFI worksheet. </w:t>
            </w:r>
          </w:p>
          <w:p w14:paraId="09FAC654" w14:textId="6754A811" w:rsidR="00465656" w:rsidRDefault="00DD3FF4" w:rsidP="00465656">
            <w:hyperlink r:id="rId10" w:history="1">
              <w:proofErr w:type="spellStart"/>
              <w:r w:rsidR="00465656" w:rsidRPr="00AC4A89">
                <w:rPr>
                  <w:rStyle w:val="Hipercze"/>
                  <w:szCs w:val="24"/>
                  <w:lang w:val="en-US"/>
                </w:rPr>
                <w:t>Amba</w:t>
              </w:r>
              <w:proofErr w:type="spellEnd"/>
              <w:r w:rsidR="00465656" w:rsidRPr="00AC4A89">
                <w:rPr>
                  <w:rStyle w:val="Hipercze"/>
                  <w:szCs w:val="24"/>
                  <w:lang w:val="en-US"/>
                </w:rPr>
                <w:t xml:space="preserve"> Brown’s Finding Your Path worksheet</w:t>
              </w:r>
            </w:hyperlink>
            <w:r w:rsidR="00465656" w:rsidRPr="00AC4A89">
              <w:rPr>
                <w:szCs w:val="24"/>
                <w:lang w:val="en-US"/>
              </w:rPr>
              <w:t>,</w:t>
            </w:r>
            <w:r w:rsidR="00465656">
              <w:rPr>
                <w:szCs w:val="24"/>
                <w:lang w:val="en-US"/>
              </w:rPr>
              <w:t xml:space="preserve"> </w:t>
            </w:r>
          </w:p>
          <w:p w14:paraId="25585182" w14:textId="10474C3C" w:rsidR="00465656" w:rsidRDefault="00465656" w:rsidP="00465656">
            <w:r>
              <w:t xml:space="preserve">This worksheet is designed to help students identify professional areas they may want to explore, rooted in their interests, dreams, and ambitions. </w:t>
            </w:r>
          </w:p>
          <w:p w14:paraId="60B49F11" w14:textId="77777777" w:rsidR="00465656" w:rsidRDefault="00465656" w:rsidP="00465656"/>
          <w:p w14:paraId="71908DF3" w14:textId="483BB63A" w:rsidR="00593AA6" w:rsidRDefault="00465656" w:rsidP="00465656">
            <w:r>
              <w:t>The acronym “WIFI” stands for the following:</w:t>
            </w:r>
          </w:p>
          <w:p w14:paraId="6F8DA946" w14:textId="77777777" w:rsidR="00465656" w:rsidRDefault="00465656" w:rsidP="00465656"/>
          <w:p w14:paraId="56647FC0" w14:textId="014D6371" w:rsidR="00465656" w:rsidRDefault="00465656" w:rsidP="00593AA6">
            <w:proofErr w:type="spellStart"/>
            <w:r w:rsidRPr="00465656">
              <w:rPr>
                <w:b/>
              </w:rPr>
              <w:t>W</w:t>
            </w:r>
            <w:proofErr w:type="spellEnd"/>
            <w:r>
              <w:t xml:space="preserve">    Watch Your Interests First, students reflect on their primary interests, activities they enjoy, and traits that may inform their career direction. </w:t>
            </w:r>
          </w:p>
          <w:p w14:paraId="3819F7F5" w14:textId="77777777" w:rsidR="00465656" w:rsidRDefault="00465656" w:rsidP="00593AA6"/>
          <w:p w14:paraId="574A4121" w14:textId="77777777" w:rsidR="00465656" w:rsidRDefault="00465656" w:rsidP="00593AA6">
            <w:r w:rsidRPr="00465656">
              <w:rPr>
                <w:b/>
              </w:rPr>
              <w:t>I</w:t>
            </w:r>
            <w:r>
              <w:rPr>
                <w:b/>
              </w:rPr>
              <w:t xml:space="preserve">   </w:t>
            </w:r>
            <w:r>
              <w:t xml:space="preserve">    Investigate Your Options Here, students consider the next major step in their life plan, whether traveling the world, pursuing further education, or jumping into a new career straightaway.</w:t>
            </w:r>
          </w:p>
          <w:p w14:paraId="70A63415" w14:textId="56B161A2" w:rsidR="00465656" w:rsidRDefault="00465656" w:rsidP="00593AA6">
            <w:r>
              <w:t xml:space="preserve"> </w:t>
            </w:r>
          </w:p>
          <w:p w14:paraId="469C36DF" w14:textId="00E999D7" w:rsidR="00465656" w:rsidRDefault="00465656" w:rsidP="00593AA6">
            <w:r w:rsidRPr="00465656">
              <w:rPr>
                <w:b/>
              </w:rPr>
              <w:t>F</w:t>
            </w:r>
            <w:r>
              <w:t xml:space="preserve">       Follow Your Dreams Next, the student imagines the next five years and considers setting ambitious goals. </w:t>
            </w:r>
          </w:p>
          <w:p w14:paraId="6DFB6B1A" w14:textId="77777777" w:rsidR="00465656" w:rsidRDefault="00465656" w:rsidP="00593AA6"/>
          <w:p w14:paraId="6939641D" w14:textId="2759B8F9" w:rsidR="00465656" w:rsidRDefault="00465656" w:rsidP="00593AA6">
            <w:r w:rsidRPr="00465656">
              <w:rPr>
                <w:b/>
              </w:rPr>
              <w:t>I</w:t>
            </w:r>
            <w:r>
              <w:t xml:space="preserve">       “I’m interested in _____ &amp; I’ll see where it leads me.” </w:t>
            </w:r>
          </w:p>
          <w:p w14:paraId="190B4722" w14:textId="77777777" w:rsidR="00465656" w:rsidRDefault="00465656" w:rsidP="00593AA6"/>
          <w:p w14:paraId="0BD5A472" w14:textId="77777777" w:rsidR="00593AA6" w:rsidRDefault="00465656" w:rsidP="00593AA6">
            <w:r>
              <w:t>Rather than committing to a single career path, students are asked to explore their interests and remain open-minded about future pathways by setting a broad direction based on their interests.</w:t>
            </w:r>
          </w:p>
          <w:p w14:paraId="5DEE7105" w14:textId="15359D38" w:rsidR="00465656" w:rsidRDefault="00465656" w:rsidP="00593AA6">
            <w:r>
              <w:lastRenderedPageBreak/>
              <w:t>Teacher asks students to consider the questions on the worksheet and jot down their initial thoughts</w:t>
            </w:r>
          </w:p>
          <w:p w14:paraId="1A446015" w14:textId="77777777" w:rsidR="00465656" w:rsidRDefault="00465656" w:rsidP="00593AA6"/>
          <w:p w14:paraId="178317A9" w14:textId="04FAAD52" w:rsidR="00465656" w:rsidRPr="00465656" w:rsidRDefault="00465656" w:rsidP="00493D1F">
            <w:r>
              <w:t xml:space="preserve">After students complete their notes teacher invites them to share their thoughts, with the aim of establishing a supportive network. Understanding their classmates’ aspirations will allow students to help each other as they continue exploring career options.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Default="00460CA4" w:rsidP="00ED2333">
            <w:pPr>
              <w:spacing w:after="60"/>
              <w:jc w:val="center"/>
            </w:pPr>
          </w:p>
          <w:p w14:paraId="27F81D84" w14:textId="77777777" w:rsidR="00DD6BB5" w:rsidRDefault="00DD6BB5" w:rsidP="00595BD2">
            <w:pPr>
              <w:spacing w:before="60" w:after="60"/>
              <w:jc w:val="center"/>
            </w:pPr>
          </w:p>
          <w:p w14:paraId="02052AB1" w14:textId="1D1EC40F" w:rsidR="001E7772" w:rsidRDefault="00DD3FF4" w:rsidP="00595BD2">
            <w:pPr>
              <w:jc w:val="center"/>
              <w:rPr>
                <w:color w:val="auto"/>
                <w:lang w:val="hu-HU"/>
              </w:rPr>
            </w:pPr>
            <w:hyperlink r:id="rId11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64E186F7" w14:textId="35C076B5" w:rsidR="00C13A72" w:rsidRDefault="000053B9" w:rsidP="00595BD2">
            <w:pPr>
              <w:spacing w:before="60" w:after="60"/>
              <w:jc w:val="center"/>
            </w:pPr>
            <w:r>
              <w:t>Individual work</w:t>
            </w:r>
          </w:p>
          <w:p w14:paraId="3396D220" w14:textId="1A5A66A4" w:rsidR="00465656" w:rsidRPr="00E325E4" w:rsidRDefault="00465656" w:rsidP="00595BD2">
            <w:pPr>
              <w:spacing w:before="60" w:after="60"/>
              <w:jc w:val="center"/>
            </w:pPr>
            <w:r>
              <w:t>Reflection</w:t>
            </w:r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CE5CCA" w:rsidRPr="002F42A1" w14:paraId="73B785B9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41D181BB" w:rsidR="00CE5CCA" w:rsidRDefault="00CE5CCA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Time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66916CF8" w:rsidR="00CE5CCA" w:rsidRPr="00247FC9" w:rsidRDefault="00CE5CCA" w:rsidP="00CE5CCA">
            <w:pPr>
              <w:spacing w:before="120" w:after="120"/>
              <w:ind w:left="360"/>
              <w:rPr>
                <w:b/>
                <w:lang w:val="en-US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2262EEE8" w:rsidR="00CE5CCA" w:rsidRDefault="00CE5CCA" w:rsidP="00CE5CCA">
            <w:pPr>
              <w:spacing w:before="120" w:after="120"/>
              <w:jc w:val="center"/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D9069B" w:rsidRPr="002F42A1" w14:paraId="70BECBD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3F1F29A" w:rsidR="00D9069B" w:rsidRDefault="00092CDC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3EAC7D34" w:rsidR="00D9069B" w:rsidRPr="00092CDC" w:rsidRDefault="00092CDC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 w:rsidRPr="00092CDC">
              <w:rPr>
                <w:b/>
                <w:smallCaps/>
                <w:lang w:val="en-US"/>
              </w:rPr>
              <w:t>Closing activity</w:t>
            </w:r>
          </w:p>
          <w:p w14:paraId="1FA93EF7" w14:textId="273662AD" w:rsidR="002312E3" w:rsidRPr="00493D1F" w:rsidRDefault="00493D1F" w:rsidP="00493D1F">
            <w:pPr>
              <w:spacing w:before="60"/>
              <w:rPr>
                <w:lang w:val="en-US"/>
              </w:rPr>
            </w:pPr>
            <w:r>
              <w:rPr>
                <w:lang w:val="en-US"/>
              </w:rPr>
              <w:t xml:space="preserve">Students will give positive feedback to their classmates to motivate them in their pathway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C49" w14:textId="6CCA34EB" w:rsidR="00ED3684" w:rsidRPr="00E325E4" w:rsidRDefault="00493D1F" w:rsidP="00ED3684">
            <w:pPr>
              <w:spacing w:before="60" w:after="60"/>
              <w:jc w:val="center"/>
            </w:pPr>
            <w:r>
              <w:t>Group Work</w:t>
            </w:r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6A83D" w14:textId="77777777" w:rsidR="00DD3FF4" w:rsidRDefault="00DD3FF4" w:rsidP="00895E77">
      <w:r>
        <w:separator/>
      </w:r>
    </w:p>
  </w:endnote>
  <w:endnote w:type="continuationSeparator" w:id="0">
    <w:p w14:paraId="528822E7" w14:textId="77777777" w:rsidR="00DD3FF4" w:rsidRDefault="00DD3FF4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07807BFE" w:rsidR="00595696" w:rsidRDefault="00EF1505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21712C" wp14:editId="749C92B2">
              <wp:simplePos x="0" y="0"/>
              <wp:positionH relativeFrom="column">
                <wp:posOffset>-331470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7A7B9" w14:textId="77777777" w:rsidR="00EF1505" w:rsidRPr="00665D1C" w:rsidRDefault="00EF1505" w:rsidP="00EF150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70CEF7" w14:textId="77777777" w:rsidR="00EF1505" w:rsidRPr="005B584A" w:rsidRDefault="00EF1505" w:rsidP="00EF150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2C0CC99" w14:textId="77777777" w:rsidR="00EF1505" w:rsidRDefault="00EF1505" w:rsidP="00EF150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721712C" id="Grupa 8" o:spid="_x0000_s1026" style="position:absolute;margin-left:-26.1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NY9BrhAAAACwEAAA8AAABkcnMvZG93bnJl&#10;di54bWxMj8FKw0AQhu+C77CM4K3dbDRaYzalFPVUCraCeNsm0yQ0Oxuy2yR9e6cnvc0wH/98f7ac&#10;bCsG7H3jSIOaRyCQClc2VGn42r/PFiB8MFSa1hFquKCHZX57k5m0dCN94rALleAQ8qnRUIfQpVL6&#10;okZr/Nx1SHw7ut6awGtfybI3I4fbVsZR9CStaYg/1KbDdY3FaXe2Gj5GM64e1NuwOR3Xl599sv3e&#10;KNT6/m5avYIIOIU/GK76rA45Ox3cmUovWg2zJI4Z5UEpBeJKPCYxtzloeF68gMwz+b9D/g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I1j0Gu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E47A7B9" w14:textId="77777777" w:rsidR="00EF1505" w:rsidRPr="00665D1C" w:rsidRDefault="00EF1505" w:rsidP="00EF150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070CEF7" w14:textId="77777777" w:rsidR="00EF1505" w:rsidRPr="005B584A" w:rsidRDefault="00EF1505" w:rsidP="00EF150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2C0CC99" w14:textId="77777777" w:rsidR="00EF1505" w:rsidRDefault="00EF1505" w:rsidP="00EF150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6D6CA" w14:textId="77777777" w:rsidR="00DD3FF4" w:rsidRDefault="00DD3FF4" w:rsidP="00895E77">
      <w:r>
        <w:separator/>
      </w:r>
    </w:p>
  </w:footnote>
  <w:footnote w:type="continuationSeparator" w:id="0">
    <w:p w14:paraId="54B880FF" w14:textId="77777777" w:rsidR="00DD3FF4" w:rsidRDefault="00DD3FF4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049A"/>
    <w:rsid w:val="00166091"/>
    <w:rsid w:val="00172182"/>
    <w:rsid w:val="0017405E"/>
    <w:rsid w:val="00181708"/>
    <w:rsid w:val="00181A68"/>
    <w:rsid w:val="00191AB1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28DB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48A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3FF4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1505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2A54299A-7334-4F32-8914-1A77A448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ech.org/wp-content/uploads/FindingYourPathAfterHighSchoolWorksheet-1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fc91105-98a7-48ff-b4da-39e2a3f38695.filesusr.com/ugd/4d1982_21fb7f80210a4a0c9c761d3ffd00021d.pdf?index=tru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apps.org/watch?v=prw3gs0tj2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ptech.org/wp-content/uploads/FindingYourPathAfterHighSchoolWorksheet-1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1xCmoXwBDU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4</cp:revision>
  <cp:lastPrinted>2022-11-12T18:31:00Z</cp:lastPrinted>
  <dcterms:created xsi:type="dcterms:W3CDTF">2023-03-28T18:34:00Z</dcterms:created>
  <dcterms:modified xsi:type="dcterms:W3CDTF">2023-10-22T11:28:00Z</dcterms:modified>
</cp:coreProperties>
</file>